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ascii="宋体"/>
          <w:sz w:val="28"/>
          <w:szCs w:val="28"/>
        </w:rPr>
      </w:pPr>
      <w:bookmarkStart w:id="0" w:name="_Toc450298792"/>
      <w:r>
        <w:rPr>
          <w:rFonts w:ascii="宋体" w:hAnsi="宋体" w:cs="宋体"/>
          <w:sz w:val="28"/>
          <w:szCs w:val="28"/>
        </w:rPr>
        <w:t>G11</w:t>
      </w:r>
      <w:r>
        <w:rPr>
          <w:rFonts w:hint="eastAsia" w:ascii="宋体" w:hAnsi="宋体" w:cs="宋体"/>
          <w:sz w:val="28"/>
          <w:szCs w:val="28"/>
        </w:rPr>
        <w:t>1</w:t>
      </w:r>
      <w:r>
        <w:rPr>
          <w:rFonts w:ascii="宋体" w:hAnsi="宋体" w:cs="宋体"/>
          <w:sz w:val="28"/>
          <w:szCs w:val="28"/>
        </w:rPr>
        <w:t>000</w:t>
      </w:r>
      <w:r>
        <w:rPr>
          <w:rFonts w:hint="eastAsia" w:ascii="宋体" w:hAnsi="宋体" w:cs="宋体"/>
          <w:sz w:val="28"/>
          <w:szCs w:val="28"/>
        </w:rPr>
        <w:t>《对外支付款项情况表》填报说明</w:t>
      </w:r>
      <w:bookmarkEnd w:id="0"/>
    </w:p>
    <w:p>
      <w:pPr>
        <w:spacing w:line="360" w:lineRule="auto"/>
        <w:rPr>
          <w:rFonts w:ascii="宋体"/>
          <w:sz w:val="24"/>
          <w:szCs w:val="24"/>
        </w:rPr>
      </w:pPr>
    </w:p>
    <w:p>
      <w:pPr>
        <w:spacing w:line="360" w:lineRule="auto"/>
        <w:ind w:firstLine="420" w:firstLineChars="175"/>
        <w:rPr>
          <w:rFonts w:ascii="宋体"/>
          <w:kern w:val="0"/>
          <w:sz w:val="24"/>
          <w:szCs w:val="24"/>
        </w:rPr>
      </w:pPr>
      <w:r>
        <w:rPr>
          <w:rFonts w:hint="eastAsia" w:ascii="宋体" w:hAnsi="宋体" w:cs="宋体"/>
          <w:sz w:val="24"/>
          <w:szCs w:val="24"/>
        </w:rPr>
        <w:t>本表适用于本报告年度所属期间内向境外机构或者个人支付各类款项的企业填报。</w:t>
      </w:r>
    </w:p>
    <w:p>
      <w:pPr>
        <w:spacing w:line="360" w:lineRule="auto"/>
        <w:ind w:firstLine="482" w:firstLineChars="200"/>
        <w:outlineLvl w:val="1"/>
        <w:rPr>
          <w:rFonts w:ascii="宋体"/>
          <w:b/>
          <w:bCs/>
          <w:sz w:val="24"/>
          <w:szCs w:val="24"/>
        </w:rPr>
      </w:pPr>
      <w:bookmarkStart w:id="1" w:name="_Toc450298793"/>
      <w:r>
        <w:rPr>
          <w:rFonts w:hint="eastAsia" w:ascii="宋体" w:hAnsi="宋体" w:cs="宋体"/>
          <w:b/>
          <w:bCs/>
          <w:sz w:val="24"/>
          <w:szCs w:val="24"/>
        </w:rPr>
        <w:t>一、有关项目填报说明</w:t>
      </w:r>
      <w:bookmarkEnd w:id="1"/>
    </w:p>
    <w:p>
      <w:pPr>
        <w:spacing w:line="360" w:lineRule="auto"/>
        <w:ind w:firstLine="480" w:firstLineChars="200"/>
        <w:rPr>
          <w:rFonts w:ascii="宋体" w:hAnsi="宋体" w:cs="宋体"/>
          <w:sz w:val="24"/>
          <w:szCs w:val="24"/>
        </w:rPr>
      </w:pPr>
      <w:r>
        <w:rPr>
          <w:rFonts w:hint="eastAsia" w:ascii="宋体" w:hAnsi="宋体" w:cs="宋体"/>
          <w:sz w:val="24"/>
          <w:szCs w:val="24"/>
        </w:rPr>
        <w:t>1</w:t>
      </w:r>
      <w:r>
        <w:rPr>
          <w:rFonts w:ascii="宋体" w:hAnsi="宋体" w:cs="宋体"/>
          <w:sz w:val="24"/>
          <w:szCs w:val="24"/>
        </w:rPr>
        <w:t>.第</w:t>
      </w:r>
      <w:r>
        <w:rPr>
          <w:rFonts w:hint="eastAsia" w:ascii="宋体" w:hAnsi="宋体" w:cs="宋体"/>
          <w:sz w:val="24"/>
          <w:szCs w:val="24"/>
        </w:rPr>
        <w:t>1</w:t>
      </w:r>
      <w:r>
        <w:rPr>
          <w:rFonts w:ascii="宋体" w:hAnsi="宋体" w:cs="宋体"/>
          <w:sz w:val="24"/>
          <w:szCs w:val="24"/>
        </w:rPr>
        <w:t>至8</w:t>
      </w:r>
      <w:r>
        <w:rPr>
          <w:rFonts w:hint="eastAsia" w:ascii="宋体" w:hAnsi="宋体" w:cs="宋体"/>
          <w:sz w:val="24"/>
          <w:szCs w:val="24"/>
        </w:rPr>
        <w:t>行第</w:t>
      </w:r>
      <w:r>
        <w:rPr>
          <w:rFonts w:ascii="宋体" w:hAnsi="宋体" w:cs="宋体"/>
          <w:sz w:val="24"/>
          <w:szCs w:val="24"/>
        </w:rPr>
        <w:t>1列：</w:t>
      </w:r>
      <w:r>
        <w:rPr>
          <w:rFonts w:hint="eastAsia" w:ascii="宋体" w:hAnsi="宋体" w:cs="宋体"/>
          <w:sz w:val="24"/>
          <w:szCs w:val="24"/>
        </w:rPr>
        <w:t>按照收付实现制，填</w:t>
      </w:r>
      <w:bookmarkStart w:id="3" w:name="_GoBack"/>
      <w:bookmarkEnd w:id="3"/>
      <w:r>
        <w:rPr>
          <w:rFonts w:hint="eastAsia" w:ascii="宋体" w:hAnsi="宋体" w:cs="宋体"/>
          <w:sz w:val="24"/>
          <w:szCs w:val="24"/>
        </w:rPr>
        <w:t xml:space="preserve">报企业实际向境外支付款项金额。 </w:t>
      </w:r>
    </w:p>
    <w:p>
      <w:pPr>
        <w:spacing w:line="360" w:lineRule="auto"/>
        <w:ind w:firstLine="480" w:firstLineChars="200"/>
        <w:rPr>
          <w:rFonts w:ascii="宋体"/>
          <w:sz w:val="24"/>
          <w:szCs w:val="24"/>
        </w:rPr>
      </w:pPr>
      <w:r>
        <w:rPr>
          <w:rFonts w:hint="eastAsia" w:ascii="宋体" w:hAnsi="宋体" w:cs="宋体"/>
          <w:sz w:val="24"/>
          <w:szCs w:val="24"/>
        </w:rPr>
        <w:t>2</w:t>
      </w:r>
      <w:r>
        <w:rPr>
          <w:rFonts w:ascii="宋体" w:cs="宋体"/>
          <w:sz w:val="24"/>
          <w:szCs w:val="24"/>
        </w:rPr>
        <w:t>.</w:t>
      </w:r>
      <w:r>
        <w:rPr>
          <w:rFonts w:ascii="宋体" w:hAnsi="宋体" w:cs="宋体"/>
          <w:sz w:val="24"/>
          <w:szCs w:val="24"/>
        </w:rPr>
        <w:t>第</w:t>
      </w:r>
      <w:r>
        <w:rPr>
          <w:rFonts w:hint="eastAsia" w:ascii="宋体" w:hAnsi="宋体" w:cs="宋体"/>
          <w:sz w:val="24"/>
          <w:szCs w:val="24"/>
        </w:rPr>
        <w:t>1</w:t>
      </w:r>
      <w:r>
        <w:rPr>
          <w:rFonts w:ascii="宋体" w:hAnsi="宋体" w:cs="宋体"/>
          <w:sz w:val="24"/>
          <w:szCs w:val="24"/>
        </w:rPr>
        <w:t>至8</w:t>
      </w:r>
      <w:r>
        <w:rPr>
          <w:rFonts w:hint="eastAsia" w:ascii="宋体" w:hAnsi="宋体" w:cs="宋体"/>
          <w:sz w:val="24"/>
          <w:szCs w:val="24"/>
        </w:rPr>
        <w:t>行第</w:t>
      </w:r>
      <w:r>
        <w:rPr>
          <w:rFonts w:ascii="宋体" w:hAnsi="宋体" w:cs="宋体"/>
          <w:sz w:val="24"/>
          <w:szCs w:val="24"/>
        </w:rPr>
        <w:t>2</w:t>
      </w:r>
      <w:r>
        <w:rPr>
          <w:rFonts w:hint="eastAsia" w:ascii="宋体" w:hAnsi="宋体" w:cs="宋体"/>
          <w:sz w:val="24"/>
          <w:szCs w:val="24"/>
        </w:rPr>
        <w:t>列：按照收付实现制，填报企业实际向境外关联方支付款项金额。</w:t>
      </w:r>
    </w:p>
    <w:p>
      <w:pPr>
        <w:spacing w:line="360" w:lineRule="auto"/>
        <w:ind w:firstLine="482" w:firstLineChars="200"/>
        <w:outlineLvl w:val="1"/>
        <w:rPr>
          <w:rFonts w:ascii="宋体"/>
          <w:b/>
          <w:bCs/>
          <w:sz w:val="24"/>
          <w:szCs w:val="24"/>
        </w:rPr>
      </w:pPr>
      <w:bookmarkStart w:id="2" w:name="_Toc450298794"/>
      <w:r>
        <w:rPr>
          <w:rFonts w:hint="eastAsia" w:ascii="宋体" w:hAnsi="宋体" w:cs="宋体"/>
          <w:b/>
          <w:bCs/>
          <w:sz w:val="24"/>
          <w:szCs w:val="24"/>
        </w:rPr>
        <w:t>二、表内、表间关系</w:t>
      </w:r>
      <w:bookmarkEnd w:id="2"/>
    </w:p>
    <w:p>
      <w:pPr>
        <w:spacing w:line="360" w:lineRule="auto"/>
        <w:ind w:firstLine="540" w:firstLineChars="225"/>
        <w:rPr>
          <w:rFonts w:ascii="宋体"/>
          <w:sz w:val="24"/>
          <w:szCs w:val="24"/>
        </w:rPr>
      </w:pPr>
      <w:r>
        <w:rPr>
          <w:rFonts w:hint="eastAsia" w:ascii="宋体" w:hAnsi="宋体" w:cs="宋体"/>
          <w:sz w:val="24"/>
          <w:szCs w:val="24"/>
        </w:rPr>
        <w:t>（一）表内关系</w:t>
      </w:r>
    </w:p>
    <w:p>
      <w:pPr>
        <w:spacing w:line="360" w:lineRule="auto"/>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列≥第</w:t>
      </w:r>
      <w:r>
        <w:rPr>
          <w:rFonts w:ascii="宋体" w:hAnsi="宋体" w:cs="宋体"/>
          <w:sz w:val="24"/>
          <w:szCs w:val="24"/>
        </w:rPr>
        <w:t>2</w:t>
      </w:r>
      <w:r>
        <w:rPr>
          <w:rFonts w:hint="eastAsia" w:ascii="宋体" w:hAnsi="宋体" w:cs="宋体"/>
          <w:sz w:val="24"/>
          <w:szCs w:val="24"/>
        </w:rPr>
        <w:t>列。</w:t>
      </w:r>
    </w:p>
    <w:p>
      <w:pPr>
        <w:spacing w:line="360" w:lineRule="auto"/>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第9行＝第</w:t>
      </w:r>
      <w:r>
        <w:rPr>
          <w:rFonts w:ascii="宋体" w:hAnsi="宋体" w:cs="宋体"/>
          <w:sz w:val="24"/>
          <w:szCs w:val="24"/>
        </w:rPr>
        <w:t>1+2+3+4+5+</w:t>
      </w:r>
      <w:r>
        <w:rPr>
          <w:rFonts w:hint="eastAsia" w:ascii="宋体" w:hAnsi="宋体" w:cs="宋体"/>
          <w:sz w:val="24"/>
          <w:szCs w:val="24"/>
        </w:rPr>
        <w:t>6+7</w:t>
      </w:r>
      <w:r>
        <w:rPr>
          <w:rFonts w:ascii="宋体" w:hAnsi="宋体" w:cs="宋体"/>
          <w:sz w:val="24"/>
          <w:szCs w:val="24"/>
        </w:rPr>
        <w:t>+</w:t>
      </w:r>
      <w:r>
        <w:rPr>
          <w:rFonts w:hint="eastAsia" w:ascii="宋体" w:hAnsi="宋体" w:cs="宋体"/>
          <w:sz w:val="24"/>
          <w:szCs w:val="24"/>
        </w:rPr>
        <w:t>8行。</w:t>
      </w:r>
    </w:p>
    <w:p>
      <w:pPr>
        <w:spacing w:line="360" w:lineRule="auto"/>
        <w:ind w:firstLine="540" w:firstLineChars="225"/>
        <w:rPr>
          <w:rFonts w:ascii="宋体"/>
          <w:sz w:val="24"/>
          <w:szCs w:val="24"/>
        </w:rPr>
      </w:pPr>
      <w:r>
        <w:rPr>
          <w:rFonts w:hint="eastAsia" w:ascii="宋体" w:hAnsi="宋体" w:cs="宋体"/>
          <w:sz w:val="24"/>
          <w:szCs w:val="24"/>
        </w:rPr>
        <w:t>（二）表间关系</w:t>
      </w:r>
    </w:p>
    <w:p>
      <w:pPr>
        <w:spacing w:line="360" w:lineRule="auto"/>
        <w:ind w:firstLine="480" w:firstLineChars="200"/>
      </w:pPr>
      <w:r>
        <w:rPr>
          <w:rFonts w:hint="eastAsia" w:ascii="宋体" w:hAnsi="宋体" w:cs="宋体"/>
          <w:sz w:val="24"/>
          <w:szCs w:val="24"/>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480C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2019-05-17T08:10:19Z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