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after="0" w:line="360" w:lineRule="auto"/>
        <w:jc w:val="center"/>
        <w:rPr>
          <w:rFonts w:ascii="宋体"/>
          <w:sz w:val="28"/>
          <w:szCs w:val="28"/>
        </w:rPr>
      </w:pPr>
      <w:bookmarkStart w:id="0" w:name="_Toc450298801"/>
      <w:r>
        <w:rPr>
          <w:rFonts w:ascii="宋体" w:hAnsi="宋体" w:cs="宋体"/>
          <w:sz w:val="28"/>
          <w:szCs w:val="28"/>
        </w:rPr>
        <w:t>G11</w:t>
      </w:r>
      <w:r>
        <w:rPr>
          <w:rFonts w:hint="eastAsia" w:ascii="宋体" w:hAnsi="宋体" w:cs="宋体"/>
          <w:sz w:val="28"/>
          <w:szCs w:val="28"/>
        </w:rPr>
        <w:t>3</w:t>
      </w:r>
      <w:r>
        <w:rPr>
          <w:rFonts w:ascii="宋体" w:hAnsi="宋体" w:cs="宋体"/>
          <w:sz w:val="28"/>
          <w:szCs w:val="28"/>
        </w:rPr>
        <w:t>020</w:t>
      </w:r>
      <w:r>
        <w:rPr>
          <w:rFonts w:hint="eastAsia" w:ascii="宋体" w:hAnsi="宋体" w:cs="宋体"/>
          <w:sz w:val="28"/>
          <w:szCs w:val="28"/>
        </w:rPr>
        <w:t>《年度关联交易财务状况分析表（报告企业合并报表信息）》填报说明</w:t>
      </w:r>
      <w:bookmarkEnd w:id="0"/>
    </w:p>
    <w:p>
      <w:pPr>
        <w:spacing w:line="360" w:lineRule="auto"/>
        <w:rPr>
          <w:rFonts w:ascii="宋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本表适用于本报告年度所属期间内有编制合并财务报表的企业填报。</w:t>
      </w:r>
    </w:p>
    <w:p>
      <w:pPr>
        <w:spacing w:line="360" w:lineRule="auto"/>
        <w:ind w:firstLine="482" w:firstLineChars="200"/>
        <w:outlineLvl w:val="1"/>
        <w:rPr>
          <w:rFonts w:ascii="宋体"/>
          <w:b/>
          <w:bCs/>
          <w:sz w:val="24"/>
          <w:szCs w:val="24"/>
        </w:rPr>
      </w:pPr>
      <w:bookmarkStart w:id="1" w:name="_Toc450298802"/>
      <w:r>
        <w:rPr>
          <w:rFonts w:hint="eastAsia" w:ascii="宋体" w:hAnsi="宋体" w:cs="宋体"/>
          <w:b/>
          <w:bCs/>
          <w:sz w:val="24"/>
          <w:szCs w:val="24"/>
        </w:rPr>
        <w:t>一、有关项目填报说明</w:t>
      </w:r>
      <w:bookmarkEnd w:id="1"/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企业应当依据财务会计核算明细准确划分境外关联交易、境外非关联交易、境内关联交易、境内非关联交易。无法准确划分的，应当确定其他划分方法，并说明具体的划分标准。</w:t>
      </w:r>
    </w:p>
    <w:p>
      <w:pPr>
        <w:spacing w:line="360" w:lineRule="auto"/>
        <w:ind w:firstLine="482" w:firstLineChars="200"/>
        <w:outlineLvl w:val="1"/>
        <w:rPr>
          <w:rFonts w:ascii="宋体"/>
          <w:b/>
          <w:bCs/>
          <w:sz w:val="24"/>
          <w:szCs w:val="24"/>
        </w:rPr>
      </w:pPr>
      <w:bookmarkStart w:id="2" w:name="_Toc450298803"/>
      <w:r>
        <w:rPr>
          <w:rFonts w:hint="eastAsia" w:ascii="宋体" w:hAnsi="宋体" w:cs="宋体"/>
          <w:b/>
          <w:bCs/>
          <w:sz w:val="24"/>
          <w:szCs w:val="24"/>
        </w:rPr>
        <w:t>二、表内、表间关系</w:t>
      </w:r>
      <w:bookmarkEnd w:id="2"/>
    </w:p>
    <w:p>
      <w:pPr>
        <w:spacing w:line="360" w:lineRule="auto"/>
        <w:ind w:firstLine="540" w:firstLineChars="225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（一）表内关系</w:t>
      </w:r>
      <w:bookmarkStart w:id="3" w:name="_GoBack"/>
      <w:bookmarkEnd w:id="3"/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1.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5</w:t>
      </w:r>
      <w:r>
        <w:rPr>
          <w:rFonts w:hint="eastAsia" w:ascii="宋体" w:hAnsi="宋体" w:cs="宋体"/>
          <w:sz w:val="24"/>
          <w:szCs w:val="24"/>
        </w:rPr>
        <w:t>列＝第</w:t>
      </w:r>
      <w:r>
        <w:rPr>
          <w:rFonts w:ascii="宋体" w:hAnsi="宋体" w:cs="宋体"/>
          <w:sz w:val="24"/>
          <w:szCs w:val="24"/>
        </w:rPr>
        <w:t>1+2+3+4</w:t>
      </w:r>
      <w:r>
        <w:rPr>
          <w:rFonts w:hint="eastAsia" w:ascii="宋体" w:hAnsi="宋体" w:cs="宋体"/>
          <w:sz w:val="24"/>
          <w:szCs w:val="24"/>
        </w:rPr>
        <w:t>列。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14</w:t>
      </w:r>
      <w:r>
        <w:rPr>
          <w:rFonts w:hint="eastAsia" w:ascii="宋体" w:hAnsi="宋体" w:cs="宋体"/>
          <w:sz w:val="24"/>
          <w:szCs w:val="24"/>
        </w:rPr>
        <w:t>行＝第</w:t>
      </w:r>
      <w:r>
        <w:rPr>
          <w:rFonts w:ascii="宋体" w:hAnsi="宋体" w:cs="宋体"/>
          <w:sz w:val="24"/>
          <w:szCs w:val="24"/>
        </w:rPr>
        <w:t>1-3-5-7-8-9-10+11+12</w:t>
      </w:r>
      <w:r>
        <w:rPr>
          <w:rFonts w:hint="eastAsia" w:ascii="宋体" w:hAnsi="宋体" w:cs="宋体"/>
          <w:sz w:val="24"/>
          <w:szCs w:val="24"/>
        </w:rPr>
        <w:t>行。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3.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18</w:t>
      </w:r>
      <w:r>
        <w:rPr>
          <w:rFonts w:hint="eastAsia" w:ascii="宋体" w:hAnsi="宋体" w:cs="宋体"/>
          <w:sz w:val="24"/>
          <w:szCs w:val="24"/>
        </w:rPr>
        <w:t>行＝第</w:t>
      </w:r>
      <w:r>
        <w:rPr>
          <w:rFonts w:ascii="宋体" w:hAnsi="宋体" w:cs="宋体"/>
          <w:sz w:val="24"/>
          <w:szCs w:val="24"/>
        </w:rPr>
        <w:t>14+15-16</w:t>
      </w:r>
      <w:r>
        <w:rPr>
          <w:rFonts w:hint="eastAsia" w:ascii="宋体" w:hAnsi="宋体" w:cs="宋体"/>
          <w:sz w:val="24"/>
          <w:szCs w:val="24"/>
        </w:rPr>
        <w:t>行。</w:t>
      </w:r>
    </w:p>
    <w:p>
      <w:pPr>
        <w:spacing w:line="360" w:lineRule="auto"/>
        <w:ind w:firstLine="480" w:firstLineChars="200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4</w:t>
      </w:r>
      <w:r>
        <w:rPr>
          <w:rFonts w:ascii="宋体" w:cs="宋体"/>
          <w:sz w:val="24"/>
          <w:szCs w:val="24"/>
        </w:rPr>
        <w:t>.</w:t>
      </w:r>
      <w:r>
        <w:rPr>
          <w:rFonts w:hint="eastAsia" w:ascii="宋体" w:hAnsi="宋体" w:cs="宋体"/>
          <w:sz w:val="24"/>
          <w:szCs w:val="24"/>
        </w:rPr>
        <w:t>第</w:t>
      </w:r>
      <w:r>
        <w:rPr>
          <w:rFonts w:ascii="宋体" w:hAnsi="宋体" w:cs="宋体"/>
          <w:sz w:val="24"/>
          <w:szCs w:val="24"/>
        </w:rPr>
        <w:t>20</w:t>
      </w:r>
      <w:r>
        <w:rPr>
          <w:rFonts w:hint="eastAsia" w:ascii="宋体" w:hAnsi="宋体" w:cs="宋体"/>
          <w:sz w:val="24"/>
          <w:szCs w:val="24"/>
        </w:rPr>
        <w:t>行＝第</w:t>
      </w:r>
      <w:r>
        <w:rPr>
          <w:rFonts w:ascii="宋体" w:hAnsi="宋体" w:cs="宋体"/>
          <w:sz w:val="24"/>
          <w:szCs w:val="24"/>
        </w:rPr>
        <w:t>18-19</w:t>
      </w:r>
      <w:r>
        <w:rPr>
          <w:rFonts w:hint="eastAsia" w:ascii="宋体" w:hAnsi="宋体" w:cs="宋体"/>
          <w:sz w:val="24"/>
          <w:szCs w:val="24"/>
        </w:rPr>
        <w:t>行。</w:t>
      </w:r>
    </w:p>
    <w:p>
      <w:pPr>
        <w:spacing w:line="360" w:lineRule="auto"/>
        <w:ind w:firstLine="540" w:firstLineChars="225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（二）表间关系</w:t>
      </w:r>
    </w:p>
    <w:p>
      <w:pPr>
        <w:spacing w:line="360" w:lineRule="auto"/>
        <w:ind w:firstLine="480" w:firstLineChars="200"/>
      </w:pPr>
      <w:r>
        <w:rPr>
          <w:rFonts w:hint="eastAsia" w:ascii="宋体" w:hAnsi="宋体" w:cs="宋体"/>
          <w:sz w:val="24"/>
          <w:szCs w:val="24"/>
        </w:rPr>
        <w:t>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1E6A78"/>
    <w:rsid w:val="5FFC03C3"/>
    <w:rsid w:val="69F4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2019-05-17T08:07:13Z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