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before="0" w:after="0" w:line="240" w:lineRule="auto"/>
        <w:jc w:val="center"/>
        <w:rPr>
          <w:rFonts w:ascii="宋体"/>
          <w:sz w:val="28"/>
          <w:szCs w:val="28"/>
        </w:rPr>
      </w:pPr>
      <w:bookmarkStart w:id="0" w:name="_Toc450298795"/>
      <w:r>
        <w:rPr>
          <w:rFonts w:ascii="宋体" w:hAnsi="宋体" w:cs="宋体"/>
          <w:sz w:val="28"/>
          <w:szCs w:val="28"/>
        </w:rPr>
        <w:t>G1</w:t>
      </w:r>
      <w:r>
        <w:rPr>
          <w:rFonts w:hint="eastAsia" w:ascii="宋体" w:hAnsi="宋体" w:cs="宋体"/>
          <w:sz w:val="28"/>
          <w:szCs w:val="28"/>
        </w:rPr>
        <w:t>12</w:t>
      </w:r>
      <w:r>
        <w:rPr>
          <w:rFonts w:ascii="宋体" w:hAnsi="宋体" w:cs="宋体"/>
          <w:sz w:val="28"/>
          <w:szCs w:val="28"/>
        </w:rPr>
        <w:t>0</w:t>
      </w:r>
      <w:r>
        <w:rPr>
          <w:rFonts w:hint="eastAsia" w:ascii="宋体" w:hAnsi="宋体" w:cs="宋体"/>
          <w:sz w:val="28"/>
          <w:szCs w:val="28"/>
        </w:rPr>
        <w:t>0</w:t>
      </w:r>
      <w:r>
        <w:rPr>
          <w:rFonts w:ascii="宋体" w:hAnsi="宋体" w:cs="宋体"/>
          <w:sz w:val="28"/>
          <w:szCs w:val="28"/>
        </w:rPr>
        <w:t>0</w:t>
      </w:r>
      <w:r>
        <w:rPr>
          <w:rFonts w:hint="eastAsia" w:ascii="宋体" w:hAnsi="宋体" w:cs="宋体"/>
          <w:sz w:val="28"/>
          <w:szCs w:val="28"/>
        </w:rPr>
        <w:t>《境外关联方信息表》填报说明</w:t>
      </w:r>
      <w:bookmarkEnd w:id="0"/>
    </w:p>
    <w:p>
      <w:pPr>
        <w:ind w:firstLine="480" w:firstLineChars="200"/>
        <w:rPr>
          <w:rFonts w:ascii="宋体"/>
          <w:sz w:val="24"/>
          <w:szCs w:val="24"/>
        </w:rPr>
      </w:pPr>
    </w:p>
    <w:p>
      <w:pPr>
        <w:spacing w:line="360" w:lineRule="auto"/>
        <w:ind w:firstLine="480" w:firstLineChars="200"/>
        <w:rPr>
          <w:rFonts w:ascii="宋体" w:hAnsi="宋体" w:cs="宋体"/>
          <w:sz w:val="24"/>
          <w:szCs w:val="24"/>
        </w:rPr>
      </w:pPr>
      <w:r>
        <w:rPr>
          <w:rFonts w:hint="eastAsia" w:ascii="宋体" w:hAnsi="宋体" w:cs="宋体"/>
          <w:sz w:val="24"/>
          <w:szCs w:val="24"/>
        </w:rPr>
        <w:t>本表应当填报在表G102000、表G103000、表G104000、表G105000、表G106000、表G108000中填写的境外关联方的相关信息。</w:t>
      </w:r>
    </w:p>
    <w:p>
      <w:pPr>
        <w:spacing w:line="360" w:lineRule="auto"/>
        <w:ind w:firstLine="482" w:firstLineChars="200"/>
        <w:outlineLvl w:val="1"/>
        <w:rPr>
          <w:rFonts w:ascii="宋体"/>
          <w:b/>
          <w:bCs/>
          <w:sz w:val="24"/>
          <w:szCs w:val="24"/>
        </w:rPr>
      </w:pPr>
      <w:bookmarkStart w:id="1" w:name="_Toc450298796"/>
      <w:r>
        <w:rPr>
          <w:rFonts w:hint="eastAsia" w:ascii="宋体" w:hAnsi="宋体" w:cs="宋体"/>
          <w:b/>
          <w:bCs/>
          <w:sz w:val="24"/>
          <w:szCs w:val="24"/>
        </w:rPr>
        <w:t>一、有关项目填报说明</w:t>
      </w:r>
      <w:bookmarkEnd w:id="1"/>
    </w:p>
    <w:p>
      <w:pPr>
        <w:spacing w:line="360" w:lineRule="auto"/>
        <w:ind w:firstLine="480" w:firstLineChars="200"/>
        <w:rPr>
          <w:rFonts w:ascii="宋体"/>
          <w:sz w:val="24"/>
          <w:szCs w:val="24"/>
        </w:rPr>
      </w:pPr>
      <w:r>
        <w:rPr>
          <w:rFonts w:ascii="宋体" w:hAnsi="宋体" w:cs="宋体"/>
          <w:sz w:val="24"/>
          <w:szCs w:val="24"/>
        </w:rPr>
        <w:t>1.</w:t>
      </w:r>
      <w:r>
        <w:rPr>
          <w:rFonts w:hint="eastAsia" w:ascii="宋体" w:hAnsi="宋体" w:cs="宋体"/>
          <w:sz w:val="24"/>
          <w:szCs w:val="24"/>
        </w:rPr>
        <w:t>“注册地址”：填报境外关联方登记注册的地址。</w:t>
      </w:r>
    </w:p>
    <w:p>
      <w:pPr>
        <w:spacing w:line="360" w:lineRule="auto"/>
        <w:ind w:firstLine="480" w:firstLineChars="200"/>
        <w:rPr>
          <w:rFonts w:ascii="宋体"/>
          <w:sz w:val="24"/>
          <w:szCs w:val="24"/>
        </w:rPr>
      </w:pPr>
      <w:r>
        <w:rPr>
          <w:rFonts w:ascii="宋体" w:hAnsi="宋体" w:cs="宋体"/>
          <w:sz w:val="24"/>
          <w:szCs w:val="24"/>
        </w:rPr>
        <w:t>2.</w:t>
      </w:r>
      <w:r>
        <w:rPr>
          <w:rFonts w:hint="eastAsia" w:ascii="宋体" w:hAnsi="宋体" w:cs="宋体"/>
          <w:sz w:val="24"/>
          <w:szCs w:val="24"/>
        </w:rPr>
        <w:t>“经营地址”：填报境外关联方实际生产经营地址。</w:t>
      </w:r>
    </w:p>
    <w:p>
      <w:pPr>
        <w:spacing w:line="360" w:lineRule="auto"/>
        <w:ind w:firstLine="480" w:firstLineChars="200"/>
        <w:rPr>
          <w:rFonts w:ascii="宋体"/>
          <w:sz w:val="24"/>
          <w:szCs w:val="24"/>
        </w:rPr>
      </w:pPr>
      <w:r>
        <w:rPr>
          <w:rFonts w:ascii="宋体" w:hAnsi="宋体" w:cs="宋体"/>
          <w:sz w:val="24"/>
          <w:szCs w:val="24"/>
        </w:rPr>
        <w:t>3.</w:t>
      </w:r>
      <w:r>
        <w:rPr>
          <w:rFonts w:hint="eastAsia" w:ascii="宋体" w:hAnsi="宋体" w:cs="宋体"/>
          <w:sz w:val="24"/>
          <w:szCs w:val="24"/>
        </w:rPr>
        <w:t>“经营范围”：填报境外关联方实际生产经营范围（应当以中文填报）。</w:t>
      </w:r>
    </w:p>
    <w:p>
      <w:pPr>
        <w:spacing w:line="360" w:lineRule="auto"/>
        <w:ind w:firstLine="480" w:firstLineChars="200"/>
        <w:rPr>
          <w:rFonts w:ascii="宋体"/>
          <w:sz w:val="24"/>
          <w:szCs w:val="24"/>
        </w:rPr>
      </w:pPr>
      <w:r>
        <w:rPr>
          <w:rFonts w:hint="eastAsia" w:ascii="宋体" w:hAnsi="宋体" w:cs="宋体"/>
          <w:sz w:val="24"/>
          <w:szCs w:val="24"/>
        </w:rPr>
        <w:t>4</w:t>
      </w:r>
      <w:r>
        <w:rPr>
          <w:rFonts w:ascii="宋体" w:hAnsi="宋体" w:cs="宋体"/>
          <w:sz w:val="24"/>
          <w:szCs w:val="24"/>
        </w:rPr>
        <w:t>.</w:t>
      </w:r>
      <w:r>
        <w:rPr>
          <w:rFonts w:hint="eastAsia" w:ascii="宋体" w:hAnsi="宋体" w:cs="宋体"/>
          <w:sz w:val="24"/>
          <w:szCs w:val="24"/>
        </w:rPr>
        <w:t>“适用所得税性质的税种名称”：填报</w:t>
      </w:r>
      <w:bookmarkStart w:id="3" w:name="_GoBack"/>
      <w:r>
        <w:rPr>
          <w:rFonts w:hint="eastAsia" w:ascii="宋体" w:hAnsi="宋体" w:cs="宋体"/>
          <w:sz w:val="24"/>
          <w:szCs w:val="24"/>
        </w:rPr>
        <w:t>境</w:t>
      </w:r>
      <w:bookmarkEnd w:id="3"/>
      <w:r>
        <w:rPr>
          <w:rFonts w:hint="eastAsia" w:ascii="宋体" w:hAnsi="宋体" w:cs="宋体"/>
          <w:sz w:val="24"/>
          <w:szCs w:val="24"/>
        </w:rPr>
        <w:t>外关联方所在国适用所得税性质的税种名称（应当以中文填报）。</w:t>
      </w:r>
    </w:p>
    <w:p>
      <w:pPr>
        <w:spacing w:line="360" w:lineRule="auto"/>
        <w:ind w:firstLine="480" w:firstLineChars="200"/>
        <w:rPr>
          <w:rFonts w:ascii="宋体" w:hAnsi="宋体" w:cs="宋体"/>
          <w:sz w:val="24"/>
          <w:szCs w:val="24"/>
        </w:rPr>
      </w:pPr>
      <w:r>
        <w:rPr>
          <w:rFonts w:hint="eastAsia" w:ascii="宋体" w:hAnsi="宋体" w:cs="宋体"/>
          <w:sz w:val="24"/>
          <w:szCs w:val="24"/>
        </w:rPr>
        <w:t>5</w:t>
      </w:r>
      <w:r>
        <w:rPr>
          <w:rFonts w:ascii="宋体" w:hAnsi="宋体" w:cs="宋体"/>
          <w:sz w:val="24"/>
          <w:szCs w:val="24"/>
        </w:rPr>
        <w:t>.</w:t>
      </w:r>
      <w:r>
        <w:rPr>
          <w:rFonts w:hint="eastAsia" w:ascii="宋体" w:hAnsi="宋体" w:cs="宋体"/>
          <w:sz w:val="24"/>
          <w:szCs w:val="24"/>
        </w:rPr>
        <w:t>“实际税负”：填报境外关联方在所在国最近年度实际缴纳所得税性质的税种的税负。实际税负＝实际缴纳所得税性质的税种的税款金额（扣除各种税收返还）÷所得税性质的税种的应纳税所得额×</w:t>
      </w:r>
      <w:r>
        <w:rPr>
          <w:rFonts w:ascii="宋体" w:hAnsi="宋体" w:cs="宋体"/>
          <w:sz w:val="24"/>
          <w:szCs w:val="24"/>
        </w:rPr>
        <w:t>100%</w:t>
      </w:r>
      <w:r>
        <w:rPr>
          <w:rFonts w:hint="eastAsia" w:ascii="宋体" w:hAnsi="宋体" w:cs="宋体"/>
          <w:sz w:val="24"/>
          <w:szCs w:val="24"/>
        </w:rPr>
        <w:t>。所得税性质的税种的应纳税所得额小于零的，按零填报。</w:t>
      </w:r>
    </w:p>
    <w:p>
      <w:pPr>
        <w:spacing w:line="360" w:lineRule="auto"/>
        <w:ind w:firstLine="480" w:firstLineChars="200"/>
        <w:rPr>
          <w:rFonts w:ascii="宋体"/>
          <w:sz w:val="24"/>
          <w:szCs w:val="24"/>
        </w:rPr>
      </w:pPr>
      <w:r>
        <w:rPr>
          <w:rFonts w:hint="eastAsia" w:ascii="宋体" w:hAnsi="宋体" w:cs="宋体"/>
          <w:sz w:val="24"/>
          <w:szCs w:val="24"/>
        </w:rPr>
        <w:t>6</w:t>
      </w:r>
      <w:r>
        <w:rPr>
          <w:rFonts w:ascii="宋体" w:cs="宋体"/>
          <w:sz w:val="24"/>
          <w:szCs w:val="24"/>
        </w:rPr>
        <w:t>.</w:t>
      </w:r>
      <w:r>
        <w:rPr>
          <w:rFonts w:hint="eastAsia" w:ascii="宋体" w:hAnsi="宋体" w:cs="宋体"/>
          <w:sz w:val="24"/>
          <w:szCs w:val="24"/>
        </w:rPr>
        <w:t>“享受所得税性质的税种的税收优惠”：填报境外关联方在所在国享受所得税性质的税种的税收优惠，包括各种税额减免、税率优惠、减计收入、加计扣除、税收返还等，如填报“享受法定税率</w:t>
      </w:r>
      <w:r>
        <w:rPr>
          <w:rFonts w:ascii="宋体" w:hAnsi="宋体" w:cs="宋体"/>
          <w:sz w:val="24"/>
          <w:szCs w:val="24"/>
        </w:rPr>
        <w:t>XX%</w:t>
      </w:r>
      <w:r>
        <w:rPr>
          <w:rFonts w:hint="eastAsia" w:ascii="宋体" w:hAnsi="宋体" w:cs="宋体"/>
          <w:sz w:val="24"/>
          <w:szCs w:val="24"/>
        </w:rPr>
        <w:t>的减按</w:t>
      </w:r>
      <w:r>
        <w:rPr>
          <w:rFonts w:ascii="宋体" w:hAnsi="宋体" w:cs="宋体"/>
          <w:sz w:val="24"/>
          <w:szCs w:val="24"/>
        </w:rPr>
        <w:t>XX%</w:t>
      </w:r>
      <w:r>
        <w:rPr>
          <w:rFonts w:hint="eastAsia" w:ascii="宋体" w:hAnsi="宋体" w:cs="宋体"/>
          <w:sz w:val="24"/>
          <w:szCs w:val="24"/>
        </w:rPr>
        <w:t>征收”等。</w:t>
      </w:r>
    </w:p>
    <w:p>
      <w:pPr>
        <w:spacing w:line="360" w:lineRule="auto"/>
        <w:ind w:firstLine="480" w:firstLineChars="200"/>
        <w:rPr>
          <w:rFonts w:ascii="宋体"/>
          <w:sz w:val="24"/>
          <w:szCs w:val="24"/>
        </w:rPr>
      </w:pPr>
      <w:r>
        <w:rPr>
          <w:rFonts w:hint="eastAsia" w:ascii="宋体" w:hAnsi="宋体" w:cs="宋体"/>
          <w:sz w:val="24"/>
          <w:szCs w:val="24"/>
        </w:rPr>
        <w:t>7</w:t>
      </w:r>
      <w:r>
        <w:rPr>
          <w:rFonts w:ascii="宋体" w:hAnsi="宋体" w:cs="宋体"/>
          <w:sz w:val="24"/>
          <w:szCs w:val="24"/>
        </w:rPr>
        <w:t>.</w:t>
      </w:r>
      <w:r>
        <w:rPr>
          <w:rFonts w:hint="eastAsia" w:ascii="宋体" w:hAnsi="宋体" w:cs="宋体"/>
          <w:sz w:val="24"/>
          <w:szCs w:val="24"/>
        </w:rPr>
        <w:t>“上市公司”：根据境外关联方实际情况选择。选择“是”的，“上市股票代码”和“上市交易所”栏为必填项，选择“否”的，“上市股票代码”和“上市交易所”栏为不填项。</w:t>
      </w:r>
    </w:p>
    <w:p>
      <w:pPr>
        <w:spacing w:line="360" w:lineRule="auto"/>
        <w:ind w:firstLine="480" w:firstLineChars="200"/>
        <w:rPr>
          <w:rFonts w:ascii="宋体"/>
          <w:sz w:val="24"/>
          <w:szCs w:val="24"/>
        </w:rPr>
      </w:pPr>
      <w:r>
        <w:rPr>
          <w:rFonts w:hint="eastAsia" w:ascii="宋体" w:hAnsi="宋体" w:cs="宋体"/>
          <w:sz w:val="24"/>
          <w:szCs w:val="24"/>
        </w:rPr>
        <w:t>8</w:t>
      </w:r>
      <w:r>
        <w:rPr>
          <w:rFonts w:ascii="宋体" w:hAnsi="宋体" w:cs="宋体"/>
          <w:sz w:val="24"/>
          <w:szCs w:val="24"/>
        </w:rPr>
        <w:t>.</w:t>
      </w:r>
      <w:r>
        <w:rPr>
          <w:rFonts w:hint="eastAsia" w:ascii="宋体" w:hAnsi="宋体" w:cs="宋体"/>
          <w:sz w:val="24"/>
          <w:szCs w:val="24"/>
        </w:rPr>
        <w:t>“上市交易所”：填报境外关联方股票上市的交易所全称（应当以中文填报）。</w:t>
      </w:r>
    </w:p>
    <w:p>
      <w:pPr>
        <w:spacing w:line="360" w:lineRule="auto"/>
        <w:ind w:firstLine="480" w:firstLineChars="200"/>
        <w:rPr>
          <w:rFonts w:ascii="宋体"/>
          <w:sz w:val="24"/>
          <w:szCs w:val="24"/>
        </w:rPr>
      </w:pPr>
      <w:r>
        <w:rPr>
          <w:rFonts w:hint="eastAsia" w:ascii="宋体" w:hAnsi="宋体" w:cs="宋体"/>
          <w:sz w:val="24"/>
          <w:szCs w:val="24"/>
        </w:rPr>
        <w:t>9</w:t>
      </w:r>
      <w:r>
        <w:rPr>
          <w:rFonts w:ascii="宋体" w:hAnsi="宋体" w:cs="宋体"/>
          <w:sz w:val="24"/>
          <w:szCs w:val="24"/>
        </w:rPr>
        <w:t>.</w:t>
      </w:r>
      <w:r>
        <w:rPr>
          <w:rFonts w:hint="eastAsia" w:ascii="宋体" w:hAnsi="宋体" w:cs="宋体"/>
          <w:sz w:val="24"/>
          <w:szCs w:val="24"/>
        </w:rPr>
        <w:t>“记账本位币”：根据境外关联方实际情况选填适用的记账本位币种。</w:t>
      </w:r>
    </w:p>
    <w:p>
      <w:pPr>
        <w:spacing w:line="360" w:lineRule="auto"/>
        <w:ind w:firstLine="482" w:firstLineChars="200"/>
        <w:outlineLvl w:val="1"/>
        <w:rPr>
          <w:rFonts w:ascii="宋体"/>
          <w:b/>
          <w:bCs/>
          <w:sz w:val="24"/>
          <w:szCs w:val="24"/>
        </w:rPr>
      </w:pPr>
      <w:bookmarkStart w:id="2" w:name="_Toc450298797"/>
      <w:r>
        <w:rPr>
          <w:rFonts w:hint="eastAsia" w:ascii="宋体" w:hAnsi="宋体" w:cs="宋体"/>
          <w:b/>
          <w:bCs/>
          <w:sz w:val="24"/>
          <w:szCs w:val="24"/>
        </w:rPr>
        <w:t>二、表内、表间关系</w:t>
      </w:r>
      <w:bookmarkEnd w:id="2"/>
    </w:p>
    <w:p>
      <w:pPr>
        <w:spacing w:line="360" w:lineRule="auto"/>
        <w:ind w:firstLine="540" w:firstLineChars="225"/>
        <w:rPr>
          <w:rFonts w:ascii="宋体"/>
          <w:sz w:val="24"/>
          <w:szCs w:val="24"/>
        </w:rPr>
      </w:pPr>
      <w:r>
        <w:rPr>
          <w:rFonts w:hint="eastAsia" w:ascii="宋体" w:hAnsi="宋体" w:cs="宋体"/>
          <w:sz w:val="24"/>
          <w:szCs w:val="24"/>
        </w:rPr>
        <w:t>（一）表内关系</w:t>
      </w:r>
    </w:p>
    <w:p>
      <w:pPr>
        <w:spacing w:line="360" w:lineRule="auto"/>
        <w:ind w:firstLine="480" w:firstLineChars="200"/>
        <w:rPr>
          <w:rFonts w:ascii="宋体"/>
          <w:sz w:val="24"/>
          <w:szCs w:val="24"/>
        </w:rPr>
      </w:pPr>
      <w:r>
        <w:rPr>
          <w:rFonts w:hint="eastAsia" w:ascii="宋体" w:hAnsi="宋体" w:cs="宋体"/>
          <w:sz w:val="24"/>
          <w:szCs w:val="24"/>
        </w:rPr>
        <w:t>无。</w:t>
      </w:r>
    </w:p>
    <w:p>
      <w:pPr>
        <w:spacing w:line="360" w:lineRule="auto"/>
        <w:ind w:firstLine="540" w:firstLineChars="225"/>
        <w:rPr>
          <w:rFonts w:ascii="宋体"/>
          <w:sz w:val="24"/>
          <w:szCs w:val="24"/>
        </w:rPr>
      </w:pPr>
      <w:r>
        <w:rPr>
          <w:rFonts w:hint="eastAsia" w:ascii="宋体" w:hAnsi="宋体" w:cs="宋体"/>
          <w:sz w:val="24"/>
          <w:szCs w:val="24"/>
        </w:rPr>
        <w:t>（二）表间关系</w:t>
      </w:r>
    </w:p>
    <w:p>
      <w:pPr>
        <w:ind w:firstLine="480" w:firstLineChars="200"/>
      </w:pPr>
      <w:r>
        <w:rPr>
          <w:rFonts w:hint="eastAsia" w:ascii="宋体" w:hAnsi="宋体" w:cs="宋体"/>
          <w:sz w:val="24"/>
          <w:szCs w:val="24"/>
        </w:rPr>
        <w:t>无。</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9FD5F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qFormat/>
    <w:uiPriority w:val="99"/>
    <w:pPr>
      <w:keepNext/>
      <w:keepLines/>
      <w:spacing w:before="340" w:after="330" w:line="576" w:lineRule="auto"/>
      <w:outlineLvl w:val="0"/>
    </w:pPr>
    <w:rPr>
      <w:b/>
      <w:bCs/>
      <w:kern w:val="44"/>
      <w:sz w:val="44"/>
      <w:szCs w:val="44"/>
    </w:rPr>
  </w:style>
  <w:style w:type="character" w:default="1" w:styleId="4">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Office_11.1.0.8612_F1E327BC-269C-435d-A152-05C5408002CA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dcterms:modified xsi:type="dcterms:W3CDTF">2019-05-17T08:09:37Z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2052-11.1.0.8612</vt:lpwstr>
  </property>
</Properties>
</file>