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360" w:lineRule="auto"/>
        <w:jc w:val="center"/>
        <w:rPr>
          <w:rFonts w:hint="eastAsia" w:ascii="微软雅黑" w:hAnsi="微软雅黑" w:eastAsia="微软雅黑" w:cs="微软雅黑"/>
          <w:sz w:val="24"/>
          <w:szCs w:val="24"/>
          <w:highlight w:val="none"/>
        </w:rPr>
      </w:pPr>
      <w:bookmarkStart w:id="0" w:name="_Toc393471100"/>
      <w:bookmarkStart w:id="1" w:name="_Toc450298756"/>
      <w:r>
        <w:rPr>
          <w:rFonts w:hint="eastAsia" w:ascii="微软雅黑" w:hAnsi="微软雅黑" w:eastAsia="微软雅黑" w:cs="微软雅黑"/>
          <w:sz w:val="28"/>
          <w:szCs w:val="28"/>
          <w:highlight w:val="none"/>
        </w:rPr>
        <w:t>G</w:t>
      </w:r>
      <w:r>
        <w:rPr>
          <w:rFonts w:hint="eastAsia" w:ascii="微软雅黑" w:hAnsi="微软雅黑" w:eastAsia="微软雅黑" w:cs="微软雅黑"/>
          <w:sz w:val="28"/>
          <w:szCs w:val="28"/>
          <w:highlight w:val="none"/>
        </w:rPr>
        <w:t>000000</w:t>
      </w:r>
      <w:r>
        <w:rPr>
          <w:rFonts w:hint="eastAsia" w:ascii="微软雅黑" w:hAnsi="微软雅黑" w:eastAsia="微软雅黑" w:cs="微软雅黑"/>
          <w:sz w:val="28"/>
          <w:szCs w:val="28"/>
          <w:highlight w:val="none"/>
        </w:rPr>
        <w:t>《报告企业信息表》</w:t>
      </w:r>
      <w:bookmarkEnd w:id="0"/>
      <w:r>
        <w:rPr>
          <w:rFonts w:hint="eastAsia" w:ascii="微软雅黑" w:hAnsi="微软雅黑" w:eastAsia="微软雅黑" w:cs="微软雅黑"/>
          <w:sz w:val="28"/>
          <w:szCs w:val="28"/>
          <w:highlight w:val="none"/>
        </w:rPr>
        <w:t>填报说明</w:t>
      </w:r>
      <w:bookmarkEnd w:id="1"/>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企业在填报报告表前，首先填报报告企业信息表，为后续报告提供指引。报告企业信息表主要包括表头、基本信息、企业内部组织部门信息、企业高级管理人员信息、企业主要股东信息情况等部分。有关项目填报说明如下：</w:t>
      </w:r>
    </w:p>
    <w:p>
      <w:pPr>
        <w:spacing w:line="360" w:lineRule="auto"/>
        <w:ind w:firstLine="480" w:firstLineChars="200"/>
        <w:outlineLvl w:val="1"/>
        <w:rPr>
          <w:rFonts w:hint="eastAsia" w:ascii="微软雅黑" w:hAnsi="微软雅黑" w:eastAsia="微软雅黑" w:cs="微软雅黑"/>
          <w:b/>
          <w:bCs/>
          <w:sz w:val="24"/>
          <w:szCs w:val="24"/>
          <w:highlight w:val="none"/>
        </w:rPr>
      </w:pPr>
      <w:bookmarkStart w:id="2" w:name="_Toc450298757"/>
      <w:r>
        <w:rPr>
          <w:rFonts w:hint="eastAsia" w:ascii="微软雅黑" w:hAnsi="微软雅黑" w:eastAsia="微软雅黑" w:cs="微软雅黑"/>
          <w:b/>
          <w:bCs/>
          <w:sz w:val="24"/>
          <w:szCs w:val="24"/>
          <w:highlight w:val="none"/>
        </w:rPr>
        <w:t>一、有关项目填报说明</w:t>
      </w:r>
      <w:bookmarkEnd w:id="2"/>
      <w:bookmarkStart w:id="4" w:name="_GoBack"/>
      <w:bookmarkEnd w:id="4"/>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w:t>
      </w:r>
      <w:r>
        <w:rPr>
          <w:rFonts w:hint="eastAsia" w:ascii="微软雅黑" w:hAnsi="微软雅黑" w:eastAsia="微软雅黑" w:cs="微软雅黑"/>
          <w:sz w:val="24"/>
          <w:szCs w:val="24"/>
          <w:highlight w:val="none"/>
        </w:rPr>
        <w:t>企业根据具体情况选填“正常报告”、“更正报告”或者“补充报告”。</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正常报告：报告期内，企业第一次年度报告为“正常报告”；</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更正报告：报告期内，企业对已报告内容进行更正的为“更正报告”；</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补充报告：报告期后，由于企业自查、主管税务机关评估等发现以前年度报告有误而更改报告为“补充报告”。</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w:t>
      </w:r>
      <w:r>
        <w:rPr>
          <w:rFonts w:hint="eastAsia" w:ascii="微软雅黑" w:hAnsi="微软雅黑" w:eastAsia="微软雅黑" w:cs="微软雅黑"/>
          <w:sz w:val="24"/>
          <w:szCs w:val="24"/>
          <w:highlight w:val="none"/>
        </w:rPr>
        <w:t>10</w:t>
      </w:r>
      <w:r>
        <w:rPr>
          <w:rFonts w:hint="eastAsia" w:ascii="微软雅黑" w:hAnsi="微软雅黑" w:eastAsia="微软雅黑" w:cs="微软雅黑"/>
          <w:sz w:val="24"/>
          <w:szCs w:val="24"/>
          <w:highlight w:val="none"/>
        </w:rPr>
        <w:t>1纳税人名称”：填报企业登记注册的中文全称。</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3.“102纳税人识别号”：填报税务登记证上的纳税人识别号或者营业执照上的统一社会信用代码。</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103</w:t>
      </w:r>
      <w:r>
        <w:rPr>
          <w:rFonts w:hint="eastAsia" w:ascii="微软雅黑" w:hAnsi="微软雅黑" w:eastAsia="微软雅黑" w:cs="微软雅黑"/>
          <w:sz w:val="24"/>
          <w:szCs w:val="24"/>
          <w:highlight w:val="none"/>
        </w:rPr>
        <w:t>注册地址”：填报企业登记注册的地址。</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104</w:t>
      </w:r>
      <w:r>
        <w:rPr>
          <w:rFonts w:hint="eastAsia" w:ascii="微软雅黑" w:hAnsi="微软雅黑" w:eastAsia="微软雅黑" w:cs="微软雅黑"/>
          <w:sz w:val="24"/>
          <w:szCs w:val="24"/>
          <w:highlight w:val="none"/>
        </w:rPr>
        <w:t>经营地址”：填报企业实际生产经营地址。</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6</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105</w:t>
      </w:r>
      <w:r>
        <w:rPr>
          <w:rFonts w:hint="eastAsia" w:ascii="微软雅黑" w:hAnsi="微软雅黑" w:eastAsia="微软雅黑" w:cs="微软雅黑"/>
          <w:sz w:val="24"/>
          <w:szCs w:val="24"/>
          <w:highlight w:val="none"/>
        </w:rPr>
        <w:t>经营范围”：填报本报告年度所属期间内企业实际生产经营范围。</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7</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106</w:t>
      </w:r>
      <w:r>
        <w:rPr>
          <w:rFonts w:hint="eastAsia" w:ascii="微软雅黑" w:hAnsi="微软雅黑" w:eastAsia="微软雅黑" w:cs="微软雅黑"/>
          <w:sz w:val="24"/>
          <w:szCs w:val="24"/>
          <w:highlight w:val="none"/>
        </w:rPr>
        <w:t>主管国税机关”和“</w:t>
      </w:r>
      <w:r>
        <w:rPr>
          <w:rFonts w:hint="eastAsia" w:ascii="微软雅黑" w:hAnsi="微软雅黑" w:eastAsia="微软雅黑" w:cs="微软雅黑"/>
          <w:sz w:val="24"/>
          <w:szCs w:val="24"/>
          <w:highlight w:val="none"/>
        </w:rPr>
        <w:t>107</w:t>
      </w:r>
      <w:r>
        <w:rPr>
          <w:rFonts w:hint="eastAsia" w:ascii="微软雅黑" w:hAnsi="微软雅黑" w:eastAsia="微软雅黑" w:cs="微软雅黑"/>
          <w:sz w:val="24"/>
          <w:szCs w:val="24"/>
          <w:highlight w:val="none"/>
        </w:rPr>
        <w:t>主管地税机关”填报企业主管国、地税机关全称。</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108</w:t>
      </w:r>
      <w:r>
        <w:rPr>
          <w:rFonts w:hint="eastAsia" w:ascii="微软雅黑" w:hAnsi="微软雅黑" w:eastAsia="微软雅黑" w:cs="微软雅黑"/>
          <w:sz w:val="24"/>
          <w:szCs w:val="24"/>
          <w:highlight w:val="none"/>
        </w:rPr>
        <w:t>注册资本”：填报全体股东或发起人依法登记的出资或认缴的股本币种及金额。</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9．“</w:t>
      </w:r>
      <w:r>
        <w:rPr>
          <w:rFonts w:hint="eastAsia" w:ascii="微软雅黑" w:hAnsi="微软雅黑" w:eastAsia="微软雅黑" w:cs="微软雅黑"/>
          <w:sz w:val="24"/>
          <w:szCs w:val="24"/>
          <w:highlight w:val="none"/>
        </w:rPr>
        <w:t>109</w:t>
      </w:r>
      <w:r>
        <w:rPr>
          <w:rFonts w:hint="eastAsia" w:ascii="微软雅黑" w:hAnsi="微软雅黑" w:eastAsia="微软雅黑" w:cs="微软雅黑"/>
          <w:sz w:val="24"/>
          <w:szCs w:val="24"/>
          <w:highlight w:val="none"/>
        </w:rPr>
        <w:t>投资总额”：填报企业按照企业合同、章程规定的生产规模需要投入的基本建设资金和生产流动资金的币种及金额合计。</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10．“</w:t>
      </w:r>
      <w:r>
        <w:rPr>
          <w:rFonts w:hint="eastAsia" w:ascii="微软雅黑" w:hAnsi="微软雅黑" w:eastAsia="微软雅黑" w:cs="微软雅黑"/>
          <w:sz w:val="24"/>
          <w:szCs w:val="24"/>
          <w:highlight w:val="none"/>
        </w:rPr>
        <w:t>110</w:t>
      </w:r>
      <w:r>
        <w:rPr>
          <w:rFonts w:hint="eastAsia" w:ascii="微软雅黑" w:hAnsi="微软雅黑" w:eastAsia="微软雅黑" w:cs="微软雅黑"/>
          <w:sz w:val="24"/>
          <w:szCs w:val="24"/>
          <w:highlight w:val="none"/>
        </w:rPr>
        <w:t>登记注册类型”：填报企业税务登记证上的登记注册类型或者营业执照上的类型。</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11</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111</w:t>
      </w:r>
      <w:r>
        <w:rPr>
          <w:rFonts w:hint="eastAsia" w:ascii="微软雅黑" w:hAnsi="微软雅黑" w:eastAsia="微软雅黑" w:cs="微软雅黑"/>
          <w:sz w:val="24"/>
          <w:szCs w:val="24"/>
          <w:highlight w:val="none"/>
        </w:rPr>
        <w:t>所属行业”：根据《国民经济行业分类》（</w:t>
      </w:r>
      <w:r>
        <w:rPr>
          <w:rFonts w:hint="eastAsia" w:ascii="微软雅黑" w:hAnsi="微软雅黑" w:eastAsia="微软雅黑" w:cs="微软雅黑"/>
          <w:sz w:val="24"/>
          <w:szCs w:val="24"/>
          <w:highlight w:val="none"/>
        </w:rPr>
        <w:t>GB/4754-2011</w:t>
      </w:r>
      <w:r>
        <w:rPr>
          <w:rFonts w:hint="eastAsia" w:ascii="微软雅黑" w:hAnsi="微软雅黑" w:eastAsia="微软雅黑" w:cs="微软雅黑"/>
          <w:sz w:val="24"/>
          <w:szCs w:val="24"/>
          <w:highlight w:val="none"/>
        </w:rPr>
        <w:t>）标准填报企业的行业代码及行业名称。</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w:t>
      </w:r>
      <w:r>
        <w:rPr>
          <w:rFonts w:hint="eastAsia" w:ascii="微软雅黑" w:hAnsi="微软雅黑" w:eastAsia="微软雅黑" w:cs="微软雅黑"/>
          <w:sz w:val="24"/>
          <w:szCs w:val="24"/>
          <w:highlight w:val="none"/>
        </w:rPr>
        <w:t>2</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112</w:t>
      </w:r>
      <w:r>
        <w:rPr>
          <w:rFonts w:hint="eastAsia" w:ascii="微软雅黑" w:hAnsi="微软雅黑" w:eastAsia="微软雅黑" w:cs="微软雅黑"/>
          <w:sz w:val="24"/>
          <w:szCs w:val="24"/>
          <w:highlight w:val="none"/>
        </w:rPr>
        <w:t>独立法人”：企业根据实际情况选填。</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w:t>
      </w:r>
      <w:r>
        <w:rPr>
          <w:rFonts w:hint="eastAsia" w:ascii="微软雅黑" w:hAnsi="微软雅黑" w:eastAsia="微软雅黑" w:cs="微软雅黑"/>
          <w:sz w:val="24"/>
          <w:szCs w:val="24"/>
          <w:highlight w:val="none"/>
        </w:rPr>
        <w:t>3．“</w:t>
      </w:r>
      <w:r>
        <w:rPr>
          <w:rFonts w:hint="eastAsia" w:ascii="微软雅黑" w:hAnsi="微软雅黑" w:eastAsia="微软雅黑" w:cs="微软雅黑"/>
          <w:sz w:val="24"/>
          <w:szCs w:val="24"/>
          <w:highlight w:val="none"/>
        </w:rPr>
        <w:t>113</w:t>
      </w:r>
      <w:r>
        <w:rPr>
          <w:rFonts w:hint="eastAsia" w:ascii="微软雅黑" w:hAnsi="微软雅黑" w:eastAsia="微软雅黑" w:cs="微软雅黑"/>
          <w:sz w:val="24"/>
          <w:szCs w:val="24"/>
          <w:highlight w:val="none"/>
        </w:rPr>
        <w:t>法定代表人或负责人”：企业根据税务登记证或者营业执照上注明的法定代表人或负责人名称填报。</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w:t>
      </w:r>
      <w:r>
        <w:rPr>
          <w:rFonts w:hint="eastAsia" w:ascii="微软雅黑" w:hAnsi="微软雅黑" w:eastAsia="微软雅黑" w:cs="微软雅黑"/>
          <w:sz w:val="24"/>
          <w:szCs w:val="24"/>
          <w:highlight w:val="none"/>
        </w:rPr>
        <w:t>4</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114</w:t>
      </w:r>
      <w:r>
        <w:rPr>
          <w:rFonts w:hint="eastAsia" w:ascii="微软雅黑" w:hAnsi="微软雅黑" w:eastAsia="微软雅黑" w:cs="微软雅黑"/>
          <w:sz w:val="24"/>
          <w:szCs w:val="24"/>
          <w:highlight w:val="none"/>
        </w:rPr>
        <w:t>独立核算”：企业根据实际情况选填。</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w:t>
      </w:r>
      <w:r>
        <w:rPr>
          <w:rFonts w:hint="eastAsia" w:ascii="微软雅黑" w:hAnsi="微软雅黑" w:eastAsia="微软雅黑" w:cs="微软雅黑"/>
          <w:sz w:val="24"/>
          <w:szCs w:val="24"/>
          <w:highlight w:val="none"/>
        </w:rPr>
        <w:t>5．“</w:t>
      </w:r>
      <w:r>
        <w:rPr>
          <w:rFonts w:hint="eastAsia" w:ascii="微软雅黑" w:hAnsi="微软雅黑" w:eastAsia="微软雅黑" w:cs="微软雅黑"/>
          <w:sz w:val="24"/>
          <w:szCs w:val="24"/>
          <w:highlight w:val="none"/>
        </w:rPr>
        <w:t>115</w:t>
      </w:r>
      <w:r>
        <w:rPr>
          <w:rFonts w:hint="eastAsia" w:ascii="微软雅黑" w:hAnsi="微软雅黑" w:eastAsia="微软雅黑" w:cs="微软雅黑"/>
          <w:sz w:val="24"/>
          <w:szCs w:val="24"/>
          <w:highlight w:val="none"/>
        </w:rPr>
        <w:t>适用的会计准则或会计制度”：企业根据采用的会计准则或会计制度选填。</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w:t>
      </w:r>
      <w:r>
        <w:rPr>
          <w:rFonts w:hint="eastAsia" w:ascii="微软雅黑" w:hAnsi="微软雅黑" w:eastAsia="微软雅黑" w:cs="微软雅黑"/>
          <w:sz w:val="24"/>
          <w:szCs w:val="24"/>
          <w:highlight w:val="none"/>
        </w:rPr>
        <w:t>6．“</w:t>
      </w:r>
      <w:r>
        <w:rPr>
          <w:rFonts w:hint="eastAsia" w:ascii="微软雅黑" w:hAnsi="微软雅黑" w:eastAsia="微软雅黑" w:cs="微软雅黑"/>
          <w:sz w:val="24"/>
          <w:szCs w:val="24"/>
          <w:highlight w:val="none"/>
        </w:rPr>
        <w:t>116</w:t>
      </w:r>
      <w:r>
        <w:rPr>
          <w:rFonts w:hint="eastAsia" w:ascii="微软雅黑" w:hAnsi="微软雅黑" w:eastAsia="微软雅黑" w:cs="微软雅黑"/>
          <w:sz w:val="24"/>
          <w:szCs w:val="24"/>
          <w:highlight w:val="none"/>
        </w:rPr>
        <w:t>上市公司”：报告企业根据实际情况选填。选择“是”的，“</w:t>
      </w:r>
      <w:r>
        <w:rPr>
          <w:rFonts w:hint="eastAsia" w:ascii="微软雅黑" w:hAnsi="微软雅黑" w:eastAsia="微软雅黑" w:cs="微软雅黑"/>
          <w:sz w:val="24"/>
          <w:szCs w:val="24"/>
          <w:highlight w:val="none"/>
        </w:rPr>
        <w:t>117</w:t>
      </w:r>
      <w:r>
        <w:rPr>
          <w:rFonts w:hint="eastAsia" w:ascii="微软雅黑" w:hAnsi="微软雅黑" w:eastAsia="微软雅黑" w:cs="微软雅黑"/>
          <w:sz w:val="24"/>
          <w:szCs w:val="24"/>
          <w:highlight w:val="none"/>
        </w:rPr>
        <w:t>上市股票代码”和“</w:t>
      </w:r>
      <w:r>
        <w:rPr>
          <w:rFonts w:hint="eastAsia" w:ascii="微软雅黑" w:hAnsi="微软雅黑" w:eastAsia="微软雅黑" w:cs="微软雅黑"/>
          <w:sz w:val="24"/>
          <w:szCs w:val="24"/>
          <w:highlight w:val="none"/>
        </w:rPr>
        <w:t>118</w:t>
      </w:r>
      <w:r>
        <w:rPr>
          <w:rFonts w:hint="eastAsia" w:ascii="微软雅黑" w:hAnsi="微软雅黑" w:eastAsia="微软雅黑" w:cs="微软雅黑"/>
          <w:sz w:val="24"/>
          <w:szCs w:val="24"/>
          <w:highlight w:val="none"/>
        </w:rPr>
        <w:t>上市交易所”栏为必填项，选择“否”的，“</w:t>
      </w:r>
      <w:r>
        <w:rPr>
          <w:rFonts w:hint="eastAsia" w:ascii="微软雅黑" w:hAnsi="微软雅黑" w:eastAsia="微软雅黑" w:cs="微软雅黑"/>
          <w:sz w:val="24"/>
          <w:szCs w:val="24"/>
          <w:highlight w:val="none"/>
        </w:rPr>
        <w:t>117</w:t>
      </w:r>
      <w:r>
        <w:rPr>
          <w:rFonts w:hint="eastAsia" w:ascii="微软雅黑" w:hAnsi="微软雅黑" w:eastAsia="微软雅黑" w:cs="微软雅黑"/>
          <w:sz w:val="24"/>
          <w:szCs w:val="24"/>
          <w:highlight w:val="none"/>
        </w:rPr>
        <w:t>上市股票代码”和“</w:t>
      </w:r>
      <w:r>
        <w:rPr>
          <w:rFonts w:hint="eastAsia" w:ascii="微软雅黑" w:hAnsi="微软雅黑" w:eastAsia="微软雅黑" w:cs="微软雅黑"/>
          <w:sz w:val="24"/>
          <w:szCs w:val="24"/>
          <w:highlight w:val="none"/>
        </w:rPr>
        <w:t>118</w:t>
      </w:r>
      <w:r>
        <w:rPr>
          <w:rFonts w:hint="eastAsia" w:ascii="微软雅黑" w:hAnsi="微软雅黑" w:eastAsia="微软雅黑" w:cs="微软雅黑"/>
          <w:sz w:val="24"/>
          <w:szCs w:val="24"/>
          <w:highlight w:val="none"/>
        </w:rPr>
        <w:t>上市交易所”栏为不填项。</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w:t>
      </w:r>
      <w:r>
        <w:rPr>
          <w:rFonts w:hint="eastAsia" w:ascii="微软雅黑" w:hAnsi="微软雅黑" w:eastAsia="微软雅黑" w:cs="微软雅黑"/>
          <w:sz w:val="24"/>
          <w:szCs w:val="24"/>
          <w:highlight w:val="none"/>
        </w:rPr>
        <w:t>7</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118</w:t>
      </w:r>
      <w:r>
        <w:rPr>
          <w:rFonts w:hint="eastAsia" w:ascii="微软雅黑" w:hAnsi="微软雅黑" w:eastAsia="微软雅黑" w:cs="微软雅黑"/>
          <w:sz w:val="24"/>
          <w:szCs w:val="24"/>
          <w:highlight w:val="none"/>
        </w:rPr>
        <w:t>上市交易所”：填报企业股票上市的交易所全称。</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w:t>
      </w:r>
      <w:r>
        <w:rPr>
          <w:rFonts w:hint="eastAsia" w:ascii="微软雅黑" w:hAnsi="微软雅黑" w:eastAsia="微软雅黑" w:cs="微软雅黑"/>
          <w:sz w:val="24"/>
          <w:szCs w:val="24"/>
          <w:highlight w:val="none"/>
        </w:rPr>
        <w:t>8．“</w:t>
      </w:r>
      <w:r>
        <w:rPr>
          <w:rFonts w:hint="eastAsia" w:ascii="微软雅黑" w:hAnsi="微软雅黑" w:eastAsia="微软雅黑" w:cs="微软雅黑"/>
          <w:sz w:val="24"/>
          <w:szCs w:val="24"/>
          <w:highlight w:val="none"/>
        </w:rPr>
        <w:t>119</w:t>
      </w:r>
      <w:r>
        <w:rPr>
          <w:rFonts w:hint="eastAsia" w:ascii="微软雅黑" w:hAnsi="微软雅黑" w:eastAsia="微软雅黑" w:cs="微软雅黑"/>
          <w:sz w:val="24"/>
          <w:szCs w:val="24"/>
          <w:highlight w:val="none"/>
        </w:rPr>
        <w:t>记账本位币”：企业根据实际情况填报适用的记账本位币币种。</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w:t>
      </w:r>
      <w:r>
        <w:rPr>
          <w:rFonts w:hint="eastAsia" w:ascii="微软雅黑" w:hAnsi="微软雅黑" w:eastAsia="微软雅黑" w:cs="微软雅黑"/>
          <w:sz w:val="24"/>
          <w:szCs w:val="24"/>
          <w:highlight w:val="none"/>
        </w:rPr>
        <w:t>9．“</w:t>
      </w:r>
      <w:r>
        <w:rPr>
          <w:rFonts w:hint="eastAsia" w:ascii="微软雅黑" w:hAnsi="微软雅黑" w:eastAsia="微软雅黑" w:cs="微软雅黑"/>
          <w:sz w:val="24"/>
          <w:szCs w:val="24"/>
          <w:highlight w:val="none"/>
        </w:rPr>
        <w:t>120企业</w:t>
      </w:r>
      <w:r>
        <w:rPr>
          <w:rFonts w:hint="eastAsia" w:ascii="微软雅黑" w:hAnsi="微软雅黑" w:eastAsia="微软雅黑" w:cs="微软雅黑"/>
          <w:sz w:val="24"/>
          <w:szCs w:val="24"/>
          <w:highlight w:val="none"/>
        </w:rPr>
        <w:t>集团最终控股企业”：企业根据实际情况选填。最终控股企业是指能够合并其所属企业集团所有成员实体财务报表的，且不能被其他企业纳入合并财务报表的企业。</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20．“</w:t>
      </w:r>
      <w:r>
        <w:rPr>
          <w:rFonts w:hint="eastAsia" w:ascii="微软雅黑" w:hAnsi="微软雅黑" w:eastAsia="微软雅黑" w:cs="微软雅黑"/>
          <w:sz w:val="24"/>
          <w:szCs w:val="24"/>
          <w:highlight w:val="none"/>
        </w:rPr>
        <w:t>121企业</w:t>
      </w:r>
      <w:r>
        <w:rPr>
          <w:rFonts w:hint="eastAsia" w:ascii="微软雅黑" w:hAnsi="微软雅黑" w:eastAsia="微软雅黑" w:cs="微软雅黑"/>
          <w:sz w:val="24"/>
          <w:szCs w:val="24"/>
          <w:highlight w:val="none"/>
        </w:rPr>
        <w:t>集团最终控股企业名称”：企业所属企业集团最终控股企业全称，有登记注册中文名称的填中文全称，没有中文名称的以登记注册的外文全称填报。</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21．“</w:t>
      </w:r>
      <w:r>
        <w:rPr>
          <w:rFonts w:hint="eastAsia" w:ascii="微软雅黑" w:hAnsi="微软雅黑" w:eastAsia="微软雅黑" w:cs="微软雅黑"/>
          <w:sz w:val="24"/>
          <w:szCs w:val="24"/>
          <w:highlight w:val="none"/>
        </w:rPr>
        <w:t>122企业</w:t>
      </w:r>
      <w:r>
        <w:rPr>
          <w:rFonts w:hint="eastAsia" w:ascii="微软雅黑" w:hAnsi="微软雅黑" w:eastAsia="微软雅黑" w:cs="微软雅黑"/>
          <w:sz w:val="24"/>
          <w:szCs w:val="24"/>
          <w:highlight w:val="none"/>
        </w:rPr>
        <w:t>集团最终控股企业所在国家（地区）”：填报企业所属企业集团最终控股企业成立注册地国家（地区）。</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w:t>
      </w:r>
      <w:r>
        <w:rPr>
          <w:rFonts w:hint="eastAsia" w:ascii="微软雅黑" w:hAnsi="微软雅黑" w:eastAsia="微软雅黑" w:cs="微软雅黑"/>
          <w:sz w:val="24"/>
          <w:szCs w:val="24"/>
          <w:highlight w:val="none"/>
        </w:rPr>
        <w:t>2.</w:t>
      </w:r>
      <w:r>
        <w:rPr>
          <w:rFonts w:hint="eastAsia" w:ascii="微软雅黑" w:hAnsi="微软雅黑" w:eastAsia="微软雅黑" w:cs="微软雅黑"/>
          <w:sz w:val="24"/>
          <w:szCs w:val="24"/>
          <w:highlight w:val="none"/>
        </w:rPr>
        <w:t>“123被指定为国别报告的报送企业</w:t>
      </w:r>
      <w:r>
        <w:rPr>
          <w:rFonts w:hint="eastAsia" w:ascii="微软雅黑" w:hAnsi="微软雅黑" w:eastAsia="微软雅黑" w:cs="微软雅黑"/>
          <w:sz w:val="24"/>
          <w:szCs w:val="24"/>
          <w:highlight w:val="none"/>
        </w:rPr>
        <w:t>”：企业根据实际情况选填本企业是否被企业集团指定为国别报告的报送企业。选择“是”的，需要填报表</w:t>
      </w:r>
      <w:r>
        <w:rPr>
          <w:rFonts w:hint="eastAsia" w:ascii="微软雅黑" w:hAnsi="微软雅黑" w:eastAsia="微软雅黑" w:cs="微软雅黑"/>
          <w:sz w:val="24"/>
          <w:szCs w:val="24"/>
          <w:highlight w:val="none"/>
        </w:rPr>
        <w:t>G114010</w:t>
      </w:r>
      <w:r>
        <w:rPr>
          <w:rFonts w:hint="eastAsia" w:ascii="微软雅黑" w:hAnsi="微软雅黑" w:eastAsia="微软雅黑" w:cs="微软雅黑"/>
          <w:sz w:val="24"/>
          <w:szCs w:val="24"/>
          <w:highlight w:val="none"/>
        </w:rPr>
        <w:t>、表</w:t>
      </w:r>
      <w:r>
        <w:rPr>
          <w:rFonts w:hint="eastAsia" w:ascii="微软雅黑" w:hAnsi="微软雅黑" w:eastAsia="微软雅黑" w:cs="微软雅黑"/>
          <w:sz w:val="24"/>
          <w:szCs w:val="24"/>
          <w:highlight w:val="none"/>
        </w:rPr>
        <w:t>G11401</w:t>
      </w:r>
      <w:r>
        <w:rPr>
          <w:rFonts w:hint="eastAsia" w:ascii="微软雅黑" w:hAnsi="微软雅黑" w:eastAsia="微软雅黑" w:cs="微软雅黑"/>
          <w:sz w:val="24"/>
          <w:szCs w:val="24"/>
          <w:highlight w:val="none"/>
        </w:rPr>
        <w:t>1、表</w:t>
      </w:r>
      <w:r>
        <w:rPr>
          <w:rFonts w:hint="eastAsia" w:ascii="微软雅黑" w:hAnsi="微软雅黑" w:eastAsia="微软雅黑" w:cs="微软雅黑"/>
          <w:sz w:val="24"/>
          <w:szCs w:val="24"/>
          <w:highlight w:val="none"/>
        </w:rPr>
        <w:t>G1140</w:t>
      </w:r>
      <w:r>
        <w:rPr>
          <w:rFonts w:hint="eastAsia" w:ascii="微软雅黑" w:hAnsi="微软雅黑" w:eastAsia="微软雅黑" w:cs="微软雅黑"/>
          <w:sz w:val="24"/>
          <w:szCs w:val="24"/>
          <w:highlight w:val="none"/>
        </w:rPr>
        <w:t>2</w:t>
      </w:r>
      <w:r>
        <w:rPr>
          <w:rFonts w:hint="eastAsia" w:ascii="微软雅黑" w:hAnsi="微软雅黑" w:eastAsia="微软雅黑" w:cs="微软雅黑"/>
          <w:sz w:val="24"/>
          <w:szCs w:val="24"/>
          <w:highlight w:val="none"/>
        </w:rPr>
        <w:t>0</w:t>
      </w:r>
      <w:r>
        <w:rPr>
          <w:rFonts w:hint="eastAsia" w:ascii="微软雅黑" w:hAnsi="微软雅黑" w:eastAsia="微软雅黑" w:cs="微软雅黑"/>
          <w:sz w:val="24"/>
          <w:szCs w:val="24"/>
          <w:highlight w:val="none"/>
        </w:rPr>
        <w:t>、表</w:t>
      </w:r>
      <w:r>
        <w:rPr>
          <w:rFonts w:hint="eastAsia" w:ascii="微软雅黑" w:hAnsi="微软雅黑" w:eastAsia="微软雅黑" w:cs="微软雅黑"/>
          <w:sz w:val="24"/>
          <w:szCs w:val="24"/>
          <w:highlight w:val="none"/>
        </w:rPr>
        <w:t>G1140</w:t>
      </w:r>
      <w:r>
        <w:rPr>
          <w:rFonts w:hint="eastAsia" w:ascii="微软雅黑" w:hAnsi="微软雅黑" w:eastAsia="微软雅黑" w:cs="微软雅黑"/>
          <w:sz w:val="24"/>
          <w:szCs w:val="24"/>
          <w:highlight w:val="none"/>
        </w:rPr>
        <w:t>21、表</w:t>
      </w:r>
      <w:r>
        <w:rPr>
          <w:rFonts w:hint="eastAsia" w:ascii="微软雅黑" w:hAnsi="微软雅黑" w:eastAsia="微软雅黑" w:cs="微软雅黑"/>
          <w:sz w:val="24"/>
          <w:szCs w:val="24"/>
          <w:highlight w:val="none"/>
        </w:rPr>
        <w:t>G1140</w:t>
      </w:r>
      <w:r>
        <w:rPr>
          <w:rFonts w:hint="eastAsia" w:ascii="微软雅黑" w:hAnsi="微软雅黑" w:eastAsia="微软雅黑" w:cs="微软雅黑"/>
          <w:sz w:val="24"/>
          <w:szCs w:val="24"/>
          <w:highlight w:val="none"/>
        </w:rPr>
        <w:t>3</w:t>
      </w:r>
      <w:r>
        <w:rPr>
          <w:rFonts w:hint="eastAsia" w:ascii="微软雅黑" w:hAnsi="微软雅黑" w:eastAsia="微软雅黑" w:cs="微软雅黑"/>
          <w:sz w:val="24"/>
          <w:szCs w:val="24"/>
          <w:highlight w:val="none"/>
        </w:rPr>
        <w:t>0</w:t>
      </w:r>
      <w:r>
        <w:rPr>
          <w:rFonts w:hint="eastAsia" w:ascii="微软雅黑" w:hAnsi="微软雅黑" w:eastAsia="微软雅黑" w:cs="微软雅黑"/>
          <w:sz w:val="24"/>
          <w:szCs w:val="24"/>
          <w:highlight w:val="none"/>
        </w:rPr>
        <w:t>、表</w:t>
      </w:r>
      <w:r>
        <w:rPr>
          <w:rFonts w:hint="eastAsia" w:ascii="微软雅黑" w:hAnsi="微软雅黑" w:eastAsia="微软雅黑" w:cs="微软雅黑"/>
          <w:sz w:val="24"/>
          <w:szCs w:val="24"/>
          <w:highlight w:val="none"/>
        </w:rPr>
        <w:t>G1140</w:t>
      </w:r>
      <w:r>
        <w:rPr>
          <w:rFonts w:hint="eastAsia" w:ascii="微软雅黑" w:hAnsi="微软雅黑" w:eastAsia="微软雅黑" w:cs="微软雅黑"/>
          <w:sz w:val="24"/>
          <w:szCs w:val="24"/>
          <w:highlight w:val="none"/>
        </w:rPr>
        <w:t>31。</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w:t>
      </w:r>
      <w:r>
        <w:rPr>
          <w:rFonts w:hint="eastAsia" w:ascii="微软雅黑" w:hAnsi="微软雅黑" w:eastAsia="微软雅黑" w:cs="微软雅黑"/>
          <w:sz w:val="24"/>
          <w:szCs w:val="24"/>
          <w:highlight w:val="none"/>
        </w:rPr>
        <w:t>3．“</w:t>
      </w:r>
      <w:r>
        <w:rPr>
          <w:rFonts w:hint="eastAsia" w:ascii="微软雅黑" w:hAnsi="微软雅黑" w:eastAsia="微软雅黑" w:cs="微软雅黑"/>
          <w:sz w:val="24"/>
          <w:szCs w:val="24"/>
          <w:highlight w:val="none"/>
        </w:rPr>
        <w:t>12</w:t>
      </w:r>
      <w:r>
        <w:rPr>
          <w:rFonts w:hint="eastAsia" w:ascii="微软雅黑" w:hAnsi="微软雅黑" w:eastAsia="微软雅黑" w:cs="微软雅黑"/>
          <w:sz w:val="24"/>
          <w:szCs w:val="24"/>
          <w:highlight w:val="none"/>
        </w:rPr>
        <w:t>4本年度准备同期资料”：根据企业实际情况选填。</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w:t>
      </w:r>
      <w:r>
        <w:rPr>
          <w:rFonts w:hint="eastAsia" w:ascii="微软雅黑" w:hAnsi="微软雅黑" w:eastAsia="微软雅黑" w:cs="微软雅黑"/>
          <w:sz w:val="24"/>
          <w:szCs w:val="24"/>
          <w:highlight w:val="none"/>
        </w:rPr>
        <w:t>4．“</w:t>
      </w:r>
      <w:r>
        <w:rPr>
          <w:rFonts w:hint="eastAsia" w:ascii="微软雅黑" w:hAnsi="微软雅黑" w:eastAsia="微软雅黑" w:cs="微软雅黑"/>
          <w:sz w:val="24"/>
          <w:szCs w:val="24"/>
          <w:highlight w:val="none"/>
        </w:rPr>
        <w:t>12</w:t>
      </w:r>
      <w:r>
        <w:rPr>
          <w:rFonts w:hint="eastAsia" w:ascii="微软雅黑" w:hAnsi="微软雅黑" w:eastAsia="微软雅黑" w:cs="微软雅黑"/>
          <w:sz w:val="24"/>
          <w:szCs w:val="24"/>
          <w:highlight w:val="none"/>
        </w:rPr>
        <w:t>5执行预约定价安排”：企业根据本报告年度所属期间内是否已签订并执行实际情况选填。</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w:t>
      </w:r>
      <w:r>
        <w:rPr>
          <w:rFonts w:hint="eastAsia" w:ascii="微软雅黑" w:hAnsi="微软雅黑" w:eastAsia="微软雅黑" w:cs="微软雅黑"/>
          <w:sz w:val="24"/>
          <w:szCs w:val="24"/>
          <w:highlight w:val="none"/>
        </w:rPr>
        <w:t>5．“</w:t>
      </w:r>
      <w:r>
        <w:rPr>
          <w:rFonts w:hint="eastAsia" w:ascii="微软雅黑" w:hAnsi="微软雅黑" w:eastAsia="微软雅黑" w:cs="微软雅黑"/>
          <w:sz w:val="24"/>
          <w:szCs w:val="24"/>
          <w:highlight w:val="none"/>
        </w:rPr>
        <w:t>12</w:t>
      </w:r>
      <w:r>
        <w:rPr>
          <w:rFonts w:hint="eastAsia" w:ascii="微软雅黑" w:hAnsi="微软雅黑" w:eastAsia="微软雅黑" w:cs="微软雅黑"/>
          <w:sz w:val="24"/>
          <w:szCs w:val="24"/>
          <w:highlight w:val="none"/>
        </w:rPr>
        <w:t>6签订或者执行成本分摊协议”：企业根据本报告年度所属期间内是否已签订并执行实际情况选填。选择“是”的，需填报表</w:t>
      </w:r>
      <w:r>
        <w:rPr>
          <w:rFonts w:hint="eastAsia" w:ascii="微软雅黑" w:hAnsi="微软雅黑" w:eastAsia="微软雅黑" w:cs="微软雅黑"/>
          <w:sz w:val="24"/>
          <w:szCs w:val="24"/>
          <w:highlight w:val="none"/>
        </w:rPr>
        <w:t>G11</w:t>
      </w:r>
      <w:r>
        <w:rPr>
          <w:rFonts w:hint="eastAsia" w:ascii="微软雅黑" w:hAnsi="微软雅黑" w:eastAsia="微软雅黑" w:cs="微软雅黑"/>
          <w:sz w:val="24"/>
          <w:szCs w:val="24"/>
          <w:highlight w:val="none"/>
        </w:rPr>
        <w:t>0</w:t>
      </w:r>
      <w:r>
        <w:rPr>
          <w:rFonts w:hint="eastAsia" w:ascii="微软雅黑" w:hAnsi="微软雅黑" w:eastAsia="微软雅黑" w:cs="微软雅黑"/>
          <w:sz w:val="24"/>
          <w:szCs w:val="24"/>
          <w:highlight w:val="none"/>
        </w:rPr>
        <w:t>000</w:t>
      </w:r>
      <w:r>
        <w:rPr>
          <w:rFonts w:hint="eastAsia" w:ascii="微软雅黑" w:hAnsi="微软雅黑" w:eastAsia="微软雅黑" w:cs="微软雅黑"/>
          <w:sz w:val="24"/>
          <w:szCs w:val="24"/>
          <w:highlight w:val="none"/>
        </w:rPr>
        <w:t>。</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w:t>
      </w:r>
      <w:r>
        <w:rPr>
          <w:rFonts w:hint="eastAsia" w:ascii="微软雅黑" w:hAnsi="微软雅黑" w:eastAsia="微软雅黑" w:cs="微软雅黑"/>
          <w:sz w:val="24"/>
          <w:szCs w:val="24"/>
          <w:highlight w:val="none"/>
        </w:rPr>
        <w:t>6．“</w:t>
      </w:r>
      <w:r>
        <w:rPr>
          <w:rFonts w:hint="eastAsia" w:ascii="微软雅黑" w:hAnsi="微软雅黑" w:eastAsia="微软雅黑" w:cs="微软雅黑"/>
          <w:sz w:val="24"/>
          <w:szCs w:val="24"/>
          <w:highlight w:val="none"/>
        </w:rPr>
        <w:t>200</w:t>
      </w:r>
      <w:r>
        <w:rPr>
          <w:rFonts w:hint="eastAsia" w:ascii="微软雅黑" w:hAnsi="微软雅黑" w:eastAsia="微软雅黑" w:cs="微软雅黑"/>
          <w:sz w:val="24"/>
          <w:szCs w:val="24"/>
          <w:highlight w:val="none"/>
        </w:rPr>
        <w:t>企业内部部门信息”：企业根据实际情况，从最顶层起填报。同一业务职能涉及超过一个层级部门的，可以合并填报。</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w:t>
      </w:r>
      <w:r>
        <w:rPr>
          <w:rFonts w:hint="eastAsia" w:ascii="微软雅黑" w:hAnsi="微软雅黑" w:eastAsia="微软雅黑" w:cs="微软雅黑"/>
          <w:sz w:val="24"/>
          <w:szCs w:val="24"/>
          <w:highlight w:val="none"/>
        </w:rPr>
        <w:t>7．“</w:t>
      </w:r>
      <w:r>
        <w:rPr>
          <w:rFonts w:hint="eastAsia" w:ascii="微软雅黑" w:hAnsi="微软雅黑" w:eastAsia="微软雅黑" w:cs="微软雅黑"/>
          <w:sz w:val="24"/>
          <w:szCs w:val="24"/>
          <w:highlight w:val="none"/>
        </w:rPr>
        <w:t>201</w:t>
      </w:r>
      <w:r>
        <w:rPr>
          <w:rFonts w:hint="eastAsia" w:ascii="微软雅黑" w:hAnsi="微软雅黑" w:eastAsia="微软雅黑" w:cs="微软雅黑"/>
          <w:sz w:val="24"/>
          <w:szCs w:val="24"/>
          <w:highlight w:val="none"/>
        </w:rPr>
        <w:t>部门名称”：填报企业内部各部门全称，应当以中文填报。</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w:t>
      </w:r>
      <w:r>
        <w:rPr>
          <w:rFonts w:hint="eastAsia" w:ascii="微软雅黑" w:hAnsi="微软雅黑" w:eastAsia="微软雅黑" w:cs="微软雅黑"/>
          <w:sz w:val="24"/>
          <w:szCs w:val="24"/>
          <w:highlight w:val="none"/>
        </w:rPr>
        <w:t>8．“</w:t>
      </w:r>
      <w:r>
        <w:rPr>
          <w:rFonts w:hint="eastAsia" w:ascii="微软雅黑" w:hAnsi="微软雅黑" w:eastAsia="微软雅黑" w:cs="微软雅黑"/>
          <w:sz w:val="24"/>
          <w:szCs w:val="24"/>
          <w:highlight w:val="none"/>
        </w:rPr>
        <w:t>202部门</w:t>
      </w:r>
      <w:r>
        <w:rPr>
          <w:rFonts w:hint="eastAsia" w:ascii="微软雅黑" w:hAnsi="微软雅黑" w:eastAsia="微软雅黑" w:cs="微软雅黑"/>
          <w:sz w:val="24"/>
          <w:szCs w:val="24"/>
          <w:highlight w:val="none"/>
        </w:rPr>
        <w:t>履行的职责业务范围及履行职责业务流程”：企业根据内部各职能部门实际履行的职责业务范围及履行职责的业务流程进行填报，可以文字加流程图的形式描述。</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w:t>
      </w:r>
      <w:r>
        <w:rPr>
          <w:rFonts w:hint="eastAsia" w:ascii="微软雅黑" w:hAnsi="微软雅黑" w:eastAsia="微软雅黑" w:cs="微软雅黑"/>
          <w:sz w:val="24"/>
          <w:szCs w:val="24"/>
          <w:highlight w:val="none"/>
        </w:rPr>
        <w:t>9．“</w:t>
      </w:r>
      <w:r>
        <w:rPr>
          <w:rFonts w:hint="eastAsia" w:ascii="微软雅黑" w:hAnsi="微软雅黑" w:eastAsia="微软雅黑" w:cs="微软雅黑"/>
          <w:sz w:val="24"/>
          <w:szCs w:val="24"/>
          <w:highlight w:val="none"/>
        </w:rPr>
        <w:t>203</w:t>
      </w:r>
      <w:r>
        <w:rPr>
          <w:rFonts w:hint="eastAsia" w:ascii="微软雅黑" w:hAnsi="微软雅黑" w:eastAsia="微软雅黑" w:cs="微软雅黑"/>
          <w:sz w:val="24"/>
          <w:szCs w:val="24"/>
          <w:highlight w:val="none"/>
        </w:rPr>
        <w:t>员工数量”：填报本报告年度所属期间内企业内部各职能部门全年从业员工数量。从业员工数量是指与企业建立劳动关系的职工人数和企业接受的劳务派遣用工人数之和；从业员工数量计算公式如下：</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从业员工数量＝（年初值＋年末值）÷</w:t>
      </w:r>
      <w:r>
        <w:rPr>
          <w:rFonts w:hint="eastAsia" w:ascii="微软雅黑" w:hAnsi="微软雅黑" w:eastAsia="微软雅黑" w:cs="微软雅黑"/>
          <w:sz w:val="24"/>
          <w:szCs w:val="24"/>
          <w:highlight w:val="none"/>
        </w:rPr>
        <w:t>2</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年度中间开业或者终止经营活动的，以其实际经营期作为一个纳税年度确定上述相关指标。</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30．“</w:t>
      </w:r>
      <w:r>
        <w:rPr>
          <w:rFonts w:hint="eastAsia" w:ascii="微软雅黑" w:hAnsi="微软雅黑" w:eastAsia="微软雅黑" w:cs="微软雅黑"/>
          <w:sz w:val="24"/>
          <w:szCs w:val="24"/>
          <w:highlight w:val="none"/>
        </w:rPr>
        <w:t>204</w:t>
      </w:r>
      <w:r>
        <w:rPr>
          <w:rFonts w:hint="eastAsia" w:ascii="微软雅黑" w:hAnsi="微软雅黑" w:eastAsia="微软雅黑" w:cs="微软雅黑"/>
          <w:sz w:val="24"/>
          <w:szCs w:val="24"/>
          <w:highlight w:val="none"/>
        </w:rPr>
        <w:t>上一级部门名称”：填报上一级部门全称。上一级部门有多个的，应全部填报。该上一级部门与“</w:t>
      </w:r>
      <w:r>
        <w:rPr>
          <w:rFonts w:hint="eastAsia" w:ascii="微软雅黑" w:hAnsi="微软雅黑" w:eastAsia="微软雅黑" w:cs="微软雅黑"/>
          <w:sz w:val="24"/>
          <w:szCs w:val="24"/>
          <w:highlight w:val="none"/>
        </w:rPr>
        <w:t>201</w:t>
      </w:r>
      <w:r>
        <w:rPr>
          <w:rFonts w:hint="eastAsia" w:ascii="微软雅黑" w:hAnsi="微软雅黑" w:eastAsia="微软雅黑" w:cs="微软雅黑"/>
          <w:sz w:val="24"/>
          <w:szCs w:val="24"/>
          <w:highlight w:val="none"/>
        </w:rPr>
        <w:t>部门名称”栏填报为同一部门的，名称应当填报一致。</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31．“</w:t>
      </w:r>
      <w:r>
        <w:rPr>
          <w:rFonts w:hint="eastAsia" w:ascii="微软雅黑" w:hAnsi="微软雅黑" w:eastAsia="微软雅黑" w:cs="微软雅黑"/>
          <w:sz w:val="24"/>
          <w:szCs w:val="24"/>
          <w:highlight w:val="none"/>
        </w:rPr>
        <w:t>300</w:t>
      </w:r>
      <w:r>
        <w:rPr>
          <w:rFonts w:hint="eastAsia" w:ascii="微软雅黑" w:hAnsi="微软雅黑" w:eastAsia="微软雅黑" w:cs="微软雅黑"/>
          <w:sz w:val="24"/>
          <w:szCs w:val="24"/>
          <w:highlight w:val="none"/>
        </w:rPr>
        <w:t>企业高级管理人员信息”：填报本报告年度所属期间内，在企业内部任职的高级管理人员（包括上市公司董事会秘书、经理、副经理、财务负责人和公司章程规定的其他人员）信息。</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32.“</w:t>
      </w:r>
      <w:r>
        <w:rPr>
          <w:rFonts w:hint="eastAsia" w:ascii="微软雅黑" w:hAnsi="微软雅黑" w:eastAsia="微软雅黑" w:cs="微软雅黑"/>
          <w:sz w:val="24"/>
          <w:szCs w:val="24"/>
          <w:highlight w:val="none"/>
        </w:rPr>
        <w:t>301</w:t>
      </w:r>
      <w:r>
        <w:rPr>
          <w:rFonts w:hint="eastAsia" w:ascii="微软雅黑" w:hAnsi="微软雅黑" w:eastAsia="微软雅黑" w:cs="微软雅黑"/>
          <w:sz w:val="24"/>
          <w:szCs w:val="24"/>
          <w:highlight w:val="none"/>
        </w:rPr>
        <w:t>职务名称”：填报职务中文全称。</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33.“</w:t>
      </w:r>
      <w:r>
        <w:rPr>
          <w:rFonts w:hint="eastAsia" w:ascii="微软雅黑" w:hAnsi="微软雅黑" w:eastAsia="微软雅黑" w:cs="微软雅黑"/>
          <w:sz w:val="24"/>
          <w:szCs w:val="24"/>
          <w:highlight w:val="none"/>
        </w:rPr>
        <w:t>302</w:t>
      </w:r>
      <w:r>
        <w:rPr>
          <w:rFonts w:hint="eastAsia" w:ascii="微软雅黑" w:hAnsi="微软雅黑" w:eastAsia="微软雅黑" w:cs="微软雅黑"/>
          <w:sz w:val="24"/>
          <w:szCs w:val="24"/>
          <w:highlight w:val="none"/>
        </w:rPr>
        <w:t>姓名”：填报所填报身份证件上姓名。</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34.“</w:t>
      </w:r>
      <w:r>
        <w:rPr>
          <w:rFonts w:hint="eastAsia" w:ascii="微软雅黑" w:hAnsi="微软雅黑" w:eastAsia="微软雅黑" w:cs="微软雅黑"/>
          <w:sz w:val="24"/>
          <w:szCs w:val="24"/>
          <w:highlight w:val="none"/>
        </w:rPr>
        <w:t>30</w:t>
      </w:r>
      <w:r>
        <w:rPr>
          <w:rFonts w:hint="eastAsia" w:ascii="微软雅黑" w:hAnsi="微软雅黑" w:eastAsia="微软雅黑" w:cs="微软雅黑"/>
          <w:sz w:val="24"/>
          <w:szCs w:val="24"/>
          <w:highlight w:val="none"/>
        </w:rPr>
        <w:t>3国家（地区）”：填报所填报身份证件上地址所在国家（地区）。</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35.“</w:t>
      </w:r>
      <w:r>
        <w:rPr>
          <w:rFonts w:hint="eastAsia" w:ascii="微软雅黑" w:hAnsi="微软雅黑" w:eastAsia="微软雅黑" w:cs="微软雅黑"/>
          <w:sz w:val="24"/>
          <w:szCs w:val="24"/>
          <w:highlight w:val="none"/>
        </w:rPr>
        <w:t>30</w:t>
      </w:r>
      <w:r>
        <w:rPr>
          <w:rFonts w:hint="eastAsia" w:ascii="微软雅黑" w:hAnsi="微软雅黑" w:eastAsia="微软雅黑" w:cs="微软雅黑"/>
          <w:sz w:val="24"/>
          <w:szCs w:val="24"/>
          <w:highlight w:val="none"/>
        </w:rPr>
        <w:t>4身份证件名称”：选填身份证、护照等。</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36.“</w:t>
      </w:r>
      <w:r>
        <w:rPr>
          <w:rFonts w:hint="eastAsia" w:ascii="微软雅黑" w:hAnsi="微软雅黑" w:eastAsia="微软雅黑" w:cs="微软雅黑"/>
          <w:sz w:val="24"/>
          <w:szCs w:val="24"/>
          <w:highlight w:val="none"/>
        </w:rPr>
        <w:t>30</w:t>
      </w:r>
      <w:r>
        <w:rPr>
          <w:rFonts w:hint="eastAsia" w:ascii="微软雅黑" w:hAnsi="微软雅黑" w:eastAsia="微软雅黑" w:cs="微软雅黑"/>
          <w:sz w:val="24"/>
          <w:szCs w:val="24"/>
          <w:highlight w:val="none"/>
        </w:rPr>
        <w:t>5身份证件号码”：填报身份证号、护照号。</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37.“</w:t>
      </w:r>
      <w:r>
        <w:rPr>
          <w:rFonts w:hint="eastAsia" w:ascii="微软雅黑" w:hAnsi="微软雅黑" w:eastAsia="微软雅黑" w:cs="微软雅黑"/>
          <w:sz w:val="24"/>
          <w:szCs w:val="24"/>
          <w:highlight w:val="none"/>
        </w:rPr>
        <w:t>30</w:t>
      </w:r>
      <w:r>
        <w:rPr>
          <w:rFonts w:hint="eastAsia" w:ascii="微软雅黑" w:hAnsi="微软雅黑" w:eastAsia="微软雅黑" w:cs="微软雅黑"/>
          <w:sz w:val="24"/>
          <w:szCs w:val="24"/>
          <w:highlight w:val="none"/>
        </w:rPr>
        <w:t>8委任方名称”：填写任命或者委派高级管理人员的自然人、法人或者其他机构组织的名称。有中文全称的应当填报中文全称。</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38．“</w:t>
      </w:r>
      <w:r>
        <w:rPr>
          <w:rFonts w:hint="eastAsia" w:ascii="微软雅黑" w:hAnsi="微软雅黑" w:eastAsia="微软雅黑" w:cs="微软雅黑"/>
          <w:sz w:val="24"/>
          <w:szCs w:val="24"/>
          <w:highlight w:val="none"/>
        </w:rPr>
        <w:t>400</w:t>
      </w:r>
      <w:r>
        <w:rPr>
          <w:rFonts w:hint="eastAsia" w:ascii="微软雅黑" w:hAnsi="微软雅黑" w:eastAsia="微软雅黑" w:cs="微软雅黑"/>
          <w:sz w:val="24"/>
          <w:szCs w:val="24"/>
          <w:highlight w:val="none"/>
        </w:rPr>
        <w:t>企业股东信息（前五位）”：填报本报告年度最后一日按持股比例排序前</w:t>
      </w:r>
      <w:r>
        <w:rPr>
          <w:rFonts w:hint="eastAsia" w:ascii="微软雅黑" w:hAnsi="微软雅黑" w:eastAsia="微软雅黑" w:cs="微软雅黑"/>
          <w:sz w:val="24"/>
          <w:szCs w:val="24"/>
          <w:highlight w:val="none"/>
        </w:rPr>
        <w:t>5</w:t>
      </w:r>
      <w:r>
        <w:rPr>
          <w:rFonts w:hint="eastAsia" w:ascii="微软雅黑" w:hAnsi="微软雅黑" w:eastAsia="微软雅黑" w:cs="微软雅黑"/>
          <w:sz w:val="24"/>
          <w:szCs w:val="24"/>
          <w:highlight w:val="none"/>
        </w:rPr>
        <w:t>位股东的信息，与第五位股东持股比例相同的股东，其信息也需填报。</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39．“</w:t>
      </w:r>
      <w:r>
        <w:rPr>
          <w:rFonts w:hint="eastAsia" w:ascii="微软雅黑" w:hAnsi="微软雅黑" w:eastAsia="微软雅黑" w:cs="微软雅黑"/>
          <w:sz w:val="24"/>
          <w:szCs w:val="24"/>
          <w:highlight w:val="none"/>
        </w:rPr>
        <w:t>401</w:t>
      </w:r>
      <w:r>
        <w:rPr>
          <w:rFonts w:hint="eastAsia" w:ascii="微软雅黑" w:hAnsi="微软雅黑" w:eastAsia="微软雅黑" w:cs="微软雅黑"/>
          <w:sz w:val="24"/>
          <w:szCs w:val="24"/>
          <w:highlight w:val="none"/>
        </w:rPr>
        <w:t>股东名称”：有登记注册中文名称的填中文全称，没有中文名称的以登记注册的外文全称填报。</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40．“</w:t>
      </w:r>
      <w:r>
        <w:rPr>
          <w:rFonts w:hint="eastAsia" w:ascii="微软雅黑" w:hAnsi="微软雅黑" w:eastAsia="微软雅黑" w:cs="微软雅黑"/>
          <w:sz w:val="24"/>
          <w:szCs w:val="24"/>
          <w:highlight w:val="none"/>
        </w:rPr>
        <w:t>402</w:t>
      </w:r>
      <w:r>
        <w:rPr>
          <w:rFonts w:hint="eastAsia" w:ascii="微软雅黑" w:hAnsi="微软雅黑" w:eastAsia="微软雅黑" w:cs="微软雅黑"/>
          <w:sz w:val="24"/>
          <w:szCs w:val="24"/>
          <w:highlight w:val="none"/>
        </w:rPr>
        <w:t>股东类型”：选填企业法人、自然人、机构组织。</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41.“</w:t>
      </w:r>
      <w:r>
        <w:rPr>
          <w:rFonts w:hint="eastAsia" w:ascii="微软雅黑" w:hAnsi="微软雅黑" w:eastAsia="微软雅黑" w:cs="微软雅黑"/>
          <w:sz w:val="24"/>
          <w:szCs w:val="24"/>
          <w:highlight w:val="none"/>
        </w:rPr>
        <w:t>403</w:t>
      </w:r>
      <w:r>
        <w:rPr>
          <w:rFonts w:hint="eastAsia" w:ascii="微软雅黑" w:hAnsi="微软雅黑" w:eastAsia="微软雅黑" w:cs="微软雅黑"/>
          <w:sz w:val="24"/>
          <w:szCs w:val="24"/>
          <w:highlight w:val="none"/>
        </w:rPr>
        <w:t>国家（地区）”：企业法人股东和机构组织股东填报依法登记注册地国家（地区），自然人股东填报“</w:t>
      </w:r>
      <w:r>
        <w:rPr>
          <w:rFonts w:hint="eastAsia" w:ascii="微软雅黑" w:hAnsi="微软雅黑" w:eastAsia="微软雅黑" w:cs="微软雅黑"/>
          <w:sz w:val="24"/>
          <w:szCs w:val="24"/>
          <w:highlight w:val="none"/>
        </w:rPr>
        <w:t>406</w:t>
      </w:r>
      <w:r>
        <w:rPr>
          <w:rFonts w:hint="eastAsia" w:ascii="微软雅黑" w:hAnsi="微软雅黑" w:eastAsia="微软雅黑" w:cs="微软雅黑"/>
          <w:sz w:val="24"/>
          <w:szCs w:val="24"/>
          <w:highlight w:val="none"/>
        </w:rPr>
        <w:t>纳税人识别号或身份证件号码”栏所填身份证件号码的证件上注明的国家（地区）。</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42.“</w:t>
      </w:r>
      <w:r>
        <w:rPr>
          <w:rFonts w:hint="eastAsia" w:ascii="微软雅黑" w:hAnsi="微软雅黑" w:eastAsia="微软雅黑" w:cs="微软雅黑"/>
          <w:sz w:val="24"/>
          <w:szCs w:val="24"/>
          <w:highlight w:val="none"/>
        </w:rPr>
        <w:t>404</w:t>
      </w:r>
      <w:r>
        <w:rPr>
          <w:rFonts w:hint="eastAsia" w:ascii="微软雅黑" w:hAnsi="微软雅黑" w:eastAsia="微软雅黑" w:cs="微软雅黑"/>
          <w:sz w:val="24"/>
          <w:szCs w:val="24"/>
          <w:highlight w:val="none"/>
        </w:rPr>
        <w:t>登记注册类型”：企业单位投资的，按其登记注册类型填报；自然人投资的，填报自然人。</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43.“</w:t>
      </w:r>
      <w:r>
        <w:rPr>
          <w:rFonts w:hint="eastAsia" w:ascii="微软雅黑" w:hAnsi="微软雅黑" w:eastAsia="微软雅黑" w:cs="微软雅黑"/>
          <w:sz w:val="24"/>
          <w:szCs w:val="24"/>
          <w:highlight w:val="none"/>
        </w:rPr>
        <w:t>405</w:t>
      </w:r>
      <w:r>
        <w:rPr>
          <w:rFonts w:hint="eastAsia" w:ascii="微软雅黑" w:hAnsi="微软雅黑" w:eastAsia="微软雅黑" w:cs="微软雅黑"/>
          <w:sz w:val="24"/>
          <w:szCs w:val="24"/>
          <w:highlight w:val="none"/>
        </w:rPr>
        <w:t>证件种类”：选填税务登记证、营业执照、组织机构代码证、身份证、护照等。境外持股企业“</w:t>
      </w:r>
      <w:r>
        <w:rPr>
          <w:rFonts w:hint="eastAsia" w:ascii="微软雅黑" w:hAnsi="微软雅黑" w:eastAsia="微软雅黑" w:cs="微软雅黑"/>
          <w:sz w:val="24"/>
          <w:szCs w:val="24"/>
          <w:highlight w:val="none"/>
        </w:rPr>
        <w:t>405</w:t>
      </w:r>
      <w:r>
        <w:rPr>
          <w:rFonts w:hint="eastAsia" w:ascii="微软雅黑" w:hAnsi="微软雅黑" w:eastAsia="微软雅黑" w:cs="微软雅黑"/>
          <w:sz w:val="24"/>
          <w:szCs w:val="24"/>
          <w:highlight w:val="none"/>
        </w:rPr>
        <w:t>证件种类”栏可不填写。</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44．“</w:t>
      </w:r>
      <w:r>
        <w:rPr>
          <w:rFonts w:hint="eastAsia" w:ascii="微软雅黑" w:hAnsi="微软雅黑" w:eastAsia="微软雅黑" w:cs="微软雅黑"/>
          <w:sz w:val="24"/>
          <w:szCs w:val="24"/>
          <w:highlight w:val="none"/>
        </w:rPr>
        <w:t>406</w:t>
      </w:r>
      <w:r>
        <w:rPr>
          <w:rFonts w:hint="eastAsia" w:ascii="微软雅黑" w:hAnsi="微软雅黑" w:eastAsia="微软雅黑" w:cs="微软雅黑"/>
          <w:sz w:val="24"/>
          <w:szCs w:val="24"/>
          <w:highlight w:val="none"/>
        </w:rPr>
        <w:t>纳税人识别号或身份证件号码”：填报纳税人识别号、统一社会信用代码、组织机构代码号、身份证号、护照号等。</w:t>
      </w:r>
    </w:p>
    <w:p>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45.“</w:t>
      </w:r>
      <w:r>
        <w:rPr>
          <w:rFonts w:hint="eastAsia" w:ascii="微软雅黑" w:hAnsi="微软雅黑" w:eastAsia="微软雅黑" w:cs="微软雅黑"/>
          <w:sz w:val="24"/>
          <w:szCs w:val="24"/>
          <w:highlight w:val="none"/>
        </w:rPr>
        <w:t>407</w:t>
      </w:r>
      <w:r>
        <w:rPr>
          <w:rFonts w:hint="eastAsia" w:ascii="微软雅黑" w:hAnsi="微软雅黑" w:eastAsia="微软雅黑" w:cs="微软雅黑"/>
          <w:sz w:val="24"/>
          <w:szCs w:val="24"/>
          <w:highlight w:val="none"/>
        </w:rPr>
        <w:t>持股起始日期”：填报持股比例最近一次发生变动的日期。</w:t>
      </w:r>
    </w:p>
    <w:p>
      <w:pPr>
        <w:spacing w:line="360" w:lineRule="auto"/>
        <w:ind w:firstLine="480" w:firstLineChars="200"/>
        <w:outlineLvl w:val="1"/>
        <w:rPr>
          <w:rFonts w:hint="eastAsia" w:ascii="微软雅黑" w:hAnsi="微软雅黑" w:eastAsia="微软雅黑" w:cs="微软雅黑"/>
          <w:b/>
          <w:bCs/>
          <w:sz w:val="24"/>
          <w:szCs w:val="24"/>
          <w:highlight w:val="none"/>
        </w:rPr>
      </w:pPr>
      <w:bookmarkStart w:id="3" w:name="_Toc450298758"/>
      <w:r>
        <w:rPr>
          <w:rFonts w:hint="eastAsia" w:ascii="微软雅黑" w:hAnsi="微软雅黑" w:eastAsia="微软雅黑" w:cs="微软雅黑"/>
          <w:b/>
          <w:bCs/>
          <w:sz w:val="24"/>
          <w:szCs w:val="24"/>
          <w:highlight w:val="none"/>
        </w:rPr>
        <w:t>二、表内、表间关系</w:t>
      </w:r>
      <w:bookmarkEnd w:id="3"/>
    </w:p>
    <w:p>
      <w:pPr>
        <w:spacing w:line="360" w:lineRule="auto"/>
        <w:ind w:firstLine="540" w:firstLineChars="225"/>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（一）表内关系</w:t>
      </w:r>
    </w:p>
    <w:p>
      <w:pPr>
        <w:spacing w:line="360" w:lineRule="auto"/>
        <w:ind w:firstLine="540" w:firstLineChars="225"/>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无。</w:t>
      </w:r>
    </w:p>
    <w:p>
      <w:pPr>
        <w:spacing w:line="360" w:lineRule="auto"/>
        <w:ind w:firstLine="540" w:firstLineChars="225"/>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（二）表间关系</w:t>
      </w:r>
    </w:p>
    <w:p>
      <w:pPr>
        <w:spacing w:line="360" w:lineRule="auto"/>
        <w:ind w:firstLine="540" w:firstLineChars="225"/>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124</w:t>
      </w:r>
      <w:r>
        <w:rPr>
          <w:rFonts w:hint="eastAsia" w:ascii="微软雅黑" w:hAnsi="微软雅黑" w:eastAsia="微软雅黑" w:cs="微软雅黑"/>
          <w:sz w:val="24"/>
          <w:szCs w:val="24"/>
          <w:highlight w:val="none"/>
        </w:rPr>
        <w:t>本年度准备同期资料”栏＝表</w:t>
      </w:r>
      <w:r>
        <w:rPr>
          <w:rFonts w:hint="eastAsia" w:ascii="微软雅黑" w:hAnsi="微软雅黑" w:eastAsia="微软雅黑" w:cs="微软雅黑"/>
          <w:sz w:val="24"/>
          <w:szCs w:val="24"/>
          <w:highlight w:val="none"/>
        </w:rPr>
        <w:t>G10</w:t>
      </w:r>
      <w:r>
        <w:rPr>
          <w:rFonts w:hint="eastAsia" w:ascii="微软雅黑" w:hAnsi="微软雅黑" w:eastAsia="微软雅黑" w:cs="微软雅黑"/>
          <w:sz w:val="24"/>
          <w:szCs w:val="24"/>
          <w:highlight w:val="none"/>
        </w:rPr>
        <w:t>0000</w:t>
      </w:r>
      <w:r>
        <w:rPr>
          <w:rFonts w:hint="eastAsia" w:ascii="微软雅黑" w:hAnsi="微软雅黑" w:eastAsia="微软雅黑" w:cs="微软雅黑"/>
          <w:sz w:val="24"/>
          <w:szCs w:val="24"/>
          <w:highlight w:val="none"/>
        </w:rPr>
        <w:t>“4</w:t>
      </w:r>
      <w:r>
        <w:rPr>
          <w:rFonts w:hint="eastAsia" w:ascii="微软雅黑" w:hAnsi="微软雅黑" w:eastAsia="微软雅黑" w:cs="微软雅黑"/>
          <w:sz w:val="24"/>
          <w:szCs w:val="24"/>
          <w:highlight w:val="none"/>
        </w:rPr>
        <w:t>00</w:t>
      </w:r>
      <w:r>
        <w:rPr>
          <w:rFonts w:hint="eastAsia" w:ascii="微软雅黑" w:hAnsi="微软雅黑" w:eastAsia="微软雅黑" w:cs="微软雅黑"/>
          <w:sz w:val="24"/>
          <w:szCs w:val="24"/>
          <w:highlight w:val="none"/>
        </w:rPr>
        <w:t>本年度准备同期资料”栏。</w:t>
      </w:r>
    </w:p>
    <w:p>
      <w:pPr>
        <w:spacing w:line="360" w:lineRule="auto"/>
        <w:ind w:firstLine="540" w:firstLineChars="225"/>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12</w:t>
      </w:r>
      <w:r>
        <w:rPr>
          <w:rFonts w:hint="eastAsia" w:ascii="微软雅黑" w:hAnsi="微软雅黑" w:eastAsia="微软雅黑" w:cs="微软雅黑"/>
          <w:sz w:val="24"/>
          <w:szCs w:val="24"/>
          <w:highlight w:val="none"/>
        </w:rPr>
        <w:t>6签订或者执行成本分摊协议”栏＝表</w:t>
      </w:r>
      <w:r>
        <w:rPr>
          <w:rFonts w:hint="eastAsia" w:ascii="微软雅黑" w:hAnsi="微软雅黑" w:eastAsia="微软雅黑" w:cs="微软雅黑"/>
          <w:sz w:val="24"/>
          <w:szCs w:val="24"/>
          <w:highlight w:val="none"/>
        </w:rPr>
        <w:t>G10</w:t>
      </w:r>
      <w:r>
        <w:rPr>
          <w:rFonts w:hint="eastAsia" w:ascii="微软雅黑" w:hAnsi="微软雅黑" w:eastAsia="微软雅黑" w:cs="微软雅黑"/>
          <w:sz w:val="24"/>
          <w:szCs w:val="24"/>
          <w:highlight w:val="none"/>
        </w:rPr>
        <w:t>0000</w:t>
      </w:r>
      <w:r>
        <w:rPr>
          <w:rFonts w:hint="eastAsia" w:ascii="微软雅黑" w:hAnsi="微软雅黑" w:eastAsia="微软雅黑" w:cs="微软雅黑"/>
          <w:sz w:val="24"/>
          <w:szCs w:val="24"/>
          <w:highlight w:val="none"/>
        </w:rPr>
        <w:t>“301签订或者执行成本分摊协议”栏。</w:t>
      </w:r>
    </w:p>
    <w:p>
      <w:pPr>
        <w:rPr>
          <w:rFonts w:hint="eastAsia" w:ascii="微软雅黑" w:hAnsi="微软雅黑" w:eastAsia="微软雅黑" w:cs="微软雅黑"/>
        </w:rPr>
      </w:pP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
      <w:tblW w:w="5322" w:type="dxa"/>
      <w:jc w:val="right"/>
      <w:tblInd w:w="0" w:type="dxa"/>
      <w:tblLayout w:type="fixed"/>
      <w:tblCellMar>
        <w:top w:w="0" w:type="dxa"/>
        <w:left w:w="108" w:type="dxa"/>
        <w:bottom w:w="0" w:type="dxa"/>
        <w:right w:w="108" w:type="dxa"/>
      </w:tblCellMar>
    </w:tblPr>
    <w:tblGrid>
      <w:gridCol w:w="4296"/>
      <w:gridCol w:w="1026"/>
    </w:tblGrid>
    <w:tr>
      <w:tblPrEx>
        <w:tblLayout w:type="fixed"/>
        <w:tblCellMar>
          <w:top w:w="0" w:type="dxa"/>
          <w:left w:w="108" w:type="dxa"/>
          <w:bottom w:w="0" w:type="dxa"/>
          <w:right w:w="108" w:type="dxa"/>
        </w:tblCellMar>
      </w:tblPrEx>
      <w:trPr>
        <w:jc w:val="right"/>
      </w:trPr>
      <w:tc>
        <w:tcPr>
          <w:tcW w:w="4296" w:type="dxa"/>
        </w:tcPr>
        <w:p>
          <w:pPr>
            <w:pStyle w:val="4"/>
            <w:ind w:right="90"/>
            <w:jc w:val="right"/>
          </w:pPr>
          <w:sdt>
            <w:sdtPr>
              <w:alias w:val="公司"/>
              <w:id w:val="76335071"/>
              <w:placeholder>
                <w:docPart w:val="1E28DCB86856447DB9EC8188076F6946"/>
              </w:placeholder>
              <w15:dataBinding w:prefixMappings="xmlns:ns0='http://schemas.openxmlformats.org/officeDocument/2006/extended-properties'" w:xpath="/ns0:Properties[1]/ns0:Company[1]" w:storeItemID="{6668398D-A668-4E3E-A5EB-62B293D839F1}"/>
              <w:text/>
            </w:sdtPr>
            <w:sdtContent>
              <w:r>
                <w:rPr>
                  <w:rFonts w:hint="eastAsia"/>
                </w:rPr>
                <w:t>WWW.SERVYOU.COM.CN</w:t>
              </w:r>
            </w:sdtContent>
          </w:sdt>
          <w:r>
            <w:rPr>
              <w:lang w:val="zh-CN"/>
            </w:rPr>
            <w:t xml:space="preserve"> | </w:t>
          </w:r>
          <w:r>
            <w:rPr>
              <w:rFonts w:hint="eastAsia"/>
              <w:lang w:val="zh-CN"/>
            </w:rPr>
            <w:t>客服热线：400-71-12366</w:t>
          </w:r>
        </w:p>
      </w:tc>
      <w:tc>
        <w:tcPr>
          <w:tcW w:w="1026" w:type="dxa"/>
        </w:tcPr>
        <w:p>
          <w:pPr>
            <w:pStyle w:val="4"/>
            <w:jc w:val="right"/>
          </w:pPr>
          <w:r>
            <w:pict>
              <v:group id="_x0000_s2056" o:spid="_x0000_s2056" o:spt="203" style="flip:x y;height:37.95pt;width:39pt;" coordorigin="8754,11945" coordsize="2880,2859">
                <o:lock v:ext="edit"/>
                <v:rect id="_x0000_s2057" o:spid="_x0000_s2057" o:spt="1" style="position:absolute;left:10194;top:11945;flip:x;height:1440;width:1440;v-text-anchor:middle;" fillcolor="#BFBFBF" filled="t" stroked="t" coordsize="21600,21600">
                  <v:path/>
                  <v:fill on="t" opacity="32768f" focussize="0,0"/>
                  <v:stroke weight="1pt" color="#FFFFFF"/>
                  <v:imagedata o:title=""/>
                  <o:lock v:ext="edit"/>
                </v:rect>
                <v:rect id="_x0000_s2058" o:spid="_x0000_s2058" o:spt="1" style="position:absolute;left:10194;top:13364;flip:x;height:1440;width:1440;v-text-anchor:middle;" fillcolor="#C0504D [3205]" filled="t" stroked="t" coordsize="21600,21600">
                  <v:path/>
                  <v:fill on="t" focussize="0,0"/>
                  <v:stroke weight="1pt" color="#FFFFFF"/>
                  <v:imagedata o:title=""/>
                  <o:lock v:ext="edit"/>
                </v:rect>
                <v:rect id="_x0000_s2059" o:spid="_x0000_s2059" o:spt="1" style="position:absolute;left:8754;top:13364;flip:x;height:1440;width:1440;v-text-anchor:middle;" fillcolor="#BFBFBF" filled="t" stroked="t" coordsize="21600,21600">
                  <v:path/>
                  <v:fill on="t" opacity="32768f" focussize="0,0"/>
                  <v:stroke weight="1pt" color="#FFFFFF"/>
                  <v:imagedata o:title=""/>
                  <o:lock v:ext="edit"/>
                </v:rect>
                <w10:wrap type="none"/>
                <w10:anchorlock/>
              </v:group>
            </w:pict>
          </w:r>
        </w:p>
      </w:tc>
    </w:tr>
  </w:tbl>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pPr>
    <w:r>
      <w:rPr>
        <w:bCs/>
        <w:color w:val="76923C" w:themeColor="accent3" w:themeShade="BF"/>
        <w:sz w:val="24"/>
        <w:szCs w:val="24"/>
      </w:rPr>
      <w:pict>
        <v:shape id="_x0000_s2054" o:spid="_x0000_s2054" o:spt="202" type="#_x0000_t202" style="position:absolute;left:0pt;margin-left:48pt;margin-top:44.95pt;height:18pt;width:153.75pt;mso-position-horizontal-relative:page;mso-position-vertical-relative:page;z-index:251661312;v-text-anchor:middle;mso-width-relative:margin;mso-height-relative:page;" filled="f" stroked="f" coordsize="21600,21600" o:allowincell="f">
          <v:path/>
          <v:fill on="f" focussize="0,0"/>
          <v:stroke on="f" joinstyle="miter"/>
          <v:imagedata o:title=""/>
          <o:lock v:ext="edit"/>
          <v:textbox inset="2.54mm,0mm,2.54mm,0mm" style="mso-fit-shape-to-text:t;">
            <w:txbxContent>
              <w:sdt>
                <w:sdtPr>
                  <w:rPr>
                    <w:rFonts w:ascii="微软雅黑" w:hAnsi="微软雅黑" w:eastAsia="微软雅黑"/>
                    <w:b/>
                    <w:i/>
                  </w:rPr>
                  <w:alias w:val="标题"/>
                  <w:id w:val="78679243"/>
                  <w:placeholder>
                    <w:docPart w:val="78EFEA79CA09450DB1738C28CAE09F2E"/>
                  </w:placeholder>
                  <w15:dataBinding w:prefixMappings="xmlns:ns0='http://schemas.openxmlformats.org/package/2006/metadata/core-properties' xmlns:ns1='http://purl.org/dc/elements/1.1/'" w:xpath="/ns0:coreProperties[1]/ns1:title[1]" w:storeItemID="{6C3C8BC8-F283-45AE-878A-BAB7291924A1}"/>
                  <w:text/>
                </w:sdtPr>
                <w:sdtEndPr>
                  <w:rPr>
                    <w:rFonts w:ascii="微软雅黑" w:hAnsi="微软雅黑" w:eastAsia="微软雅黑"/>
                    <w:b/>
                    <w:i/>
                  </w:rPr>
                </w:sdtEndPr>
                <w:sdtContent>
                  <w:p>
                    <w:r>
                      <w:rPr>
                        <w:rFonts w:hint="eastAsia" w:ascii="微软雅黑" w:hAnsi="微软雅黑" w:eastAsia="微软雅黑"/>
                        <w:b/>
                        <w:i/>
                      </w:rPr>
                      <w:t>专注税务 服务立身</w:t>
                    </w:r>
                  </w:p>
                </w:sdtContent>
              </w:sdt>
            </w:txbxContent>
          </v:textbox>
        </v:shape>
      </w:pict>
    </w:r>
    <w:r>
      <w:rPr>
        <w:bCs/>
        <w:color w:val="76923C" w:themeColor="accent3" w:themeShade="BF"/>
        <w:sz w:val="24"/>
        <w:szCs w:val="24"/>
      </w:rPr>
      <w:drawing>
        <wp:inline distT="0" distB="0" distL="0" distR="0">
          <wp:extent cx="1323975" cy="234950"/>
          <wp:effectExtent l="19050" t="0" r="0" b="0"/>
          <wp:docPr id="5" name="图片 4" descr="公司LOGO(抠)副本.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公司LOGO(抠)副本.png"/>
                  <pic:cNvPicPr>
                    <a:picLocks noChangeAspect="1"/>
                  </pic:cNvPicPr>
                </pic:nvPicPr>
                <pic:blipFill>
                  <a:blip r:embed="rId1"/>
                  <a:stretch>
                    <a:fillRect/>
                  </a:stretch>
                </pic:blipFill>
                <pic:spPr>
                  <a:xfrm>
                    <a:off x="0" y="0"/>
                    <a:ext cx="1342036" cy="238637"/>
                  </a:xfrm>
                  <a:prstGeom prst="rect">
                    <a:avLst/>
                  </a:prstGeom>
                </pic:spPr>
              </pic:pic>
            </a:graphicData>
          </a:graphic>
        </wp:inline>
      </w:drawing>
    </w:r>
    <w:r>
      <w:rPr>
        <w:bCs/>
        <w:color w:val="76923C" w:themeColor="accent3" w:themeShade="BF"/>
        <w:sz w:val="24"/>
        <w:szCs w:val="24"/>
      </w:rPr>
      <w:pict>
        <v:shape id="_x0000_s2053" o:spid="_x0000_s2053" o:spt="202" type="#_x0000_t202" style="position:absolute;left:0pt;margin-left:0.05pt;margin-top:29.6pt;height:13.45pt;width:72pt;mso-position-horizontal-relative:page;mso-position-vertical-relative:page;z-index:251660288;v-text-anchor:middle;mso-width-relative:left-margin-area;mso-height-relative:page;mso-width-percent:1000;" fillcolor="#4F81BD [3204]" filled="t" stroked="f" coordsize="21600,21600" o:allowincell="f">
          <v:path/>
          <v:fill on="t" focussize="0,0"/>
          <v:stroke on="f" joinstyle="miter"/>
          <v:imagedata o:title=""/>
          <o:lock v:ext="edit"/>
          <v:textbox inset="2.54mm,0mm,2.54mm,0mm" style="mso-fit-shape-to-text:t;">
            <w:txbxContent>
              <w:p>
                <w:pPr>
                  <w:jc w:val="right"/>
                  <w:rPr>
                    <w:color w:val="CCE8CF" w:themeColor="background1"/>
                  </w:rPr>
                </w:pPr>
                <w:r>
                  <w:fldChar w:fldCharType="begin"/>
                </w:r>
                <w:r>
                  <w:instrText xml:space="preserve"> PAGE   \* MERGEFORMAT </w:instrText>
                </w:r>
                <w:r>
                  <w:fldChar w:fldCharType="separate"/>
                </w:r>
                <w:r>
                  <w:rPr>
                    <w:color w:val="CCE8CF" w:themeColor="background1"/>
                    <w:lang w:val="zh-CN"/>
                  </w:rPr>
                  <w:t>1</w:t>
                </w:r>
                <w:r>
                  <w:rPr>
                    <w:color w:val="CCE8CF" w:themeColor="background1"/>
                    <w:lang w:val="zh-CN"/>
                  </w:rPr>
                  <w:fldChar w:fldCharType="end"/>
                </w: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ED185B"/>
    <w:rsid w:val="000653E7"/>
    <w:rsid w:val="000D6D7D"/>
    <w:rsid w:val="000E0DEB"/>
    <w:rsid w:val="001F6FE6"/>
    <w:rsid w:val="002264ED"/>
    <w:rsid w:val="00252D4A"/>
    <w:rsid w:val="00302283"/>
    <w:rsid w:val="003B399B"/>
    <w:rsid w:val="003D048F"/>
    <w:rsid w:val="00405965"/>
    <w:rsid w:val="00451147"/>
    <w:rsid w:val="004E58B2"/>
    <w:rsid w:val="004F7C82"/>
    <w:rsid w:val="00510770"/>
    <w:rsid w:val="0052218B"/>
    <w:rsid w:val="00552FD8"/>
    <w:rsid w:val="00593AC4"/>
    <w:rsid w:val="00603C0E"/>
    <w:rsid w:val="0063723B"/>
    <w:rsid w:val="0066283A"/>
    <w:rsid w:val="007A59BC"/>
    <w:rsid w:val="008114EF"/>
    <w:rsid w:val="00993791"/>
    <w:rsid w:val="009A447E"/>
    <w:rsid w:val="009C1B67"/>
    <w:rsid w:val="00A86339"/>
    <w:rsid w:val="00AF081A"/>
    <w:rsid w:val="00C37025"/>
    <w:rsid w:val="00ED185B"/>
    <w:rsid w:val="00F04A56"/>
    <w:rsid w:val="00F5504B"/>
    <w:rsid w:val="38E210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1"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after="330" w:line="576" w:lineRule="auto"/>
      <w:outlineLvl w:val="0"/>
    </w:pPr>
    <w:rPr>
      <w:b/>
      <w:bCs/>
      <w:kern w:val="44"/>
      <w:sz w:val="44"/>
      <w:szCs w:val="44"/>
    </w:rPr>
  </w:style>
  <w:style w:type="character" w:default="1" w:styleId="6">
    <w:name w:val="Default Paragraph Font"/>
    <w:semiHidden/>
    <w:unhideWhenUsed/>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3">
    <w:name w:val="Balloon Text"/>
    <w:basedOn w:val="1"/>
    <w:link w:val="12"/>
    <w:semiHidden/>
    <w:unhideWhenUsed/>
    <w:uiPriority w:val="99"/>
    <w:rPr>
      <w:sz w:val="18"/>
      <w:szCs w:val="18"/>
    </w:rPr>
  </w:style>
  <w:style w:type="paragraph" w:styleId="4">
    <w:name w:val="footer"/>
    <w:basedOn w:val="1"/>
    <w:link w:val="11"/>
    <w:unhideWhenUsed/>
    <w:uiPriority w:val="99"/>
    <w:pPr>
      <w:tabs>
        <w:tab w:val="center" w:pos="4153"/>
        <w:tab w:val="right" w:pos="8306"/>
      </w:tabs>
      <w:snapToGrid w:val="0"/>
      <w:jc w:val="left"/>
    </w:pPr>
    <w:rPr>
      <w:sz w:val="18"/>
      <w:szCs w:val="18"/>
    </w:rPr>
  </w:style>
  <w:style w:type="paragraph" w:styleId="5">
    <w:name w:val="header"/>
    <w:basedOn w:val="1"/>
    <w:link w:val="10"/>
    <w:unhideWhenUsed/>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semiHidden/>
    <w:unhideWhenUsed/>
    <w:uiPriority w:val="99"/>
  </w:style>
  <w:style w:type="table" w:styleId="9">
    <w:name w:val="Table Grid"/>
    <w:basedOn w:val="8"/>
    <w:uiPriority w:val="1"/>
    <w:rPr>
      <w:kern w:val="0"/>
      <w:sz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style>
  <w:style w:type="character" w:customStyle="1" w:styleId="10">
    <w:name w:val="页眉 Char"/>
    <w:basedOn w:val="6"/>
    <w:link w:val="5"/>
    <w:uiPriority w:val="99"/>
    <w:rPr>
      <w:sz w:val="18"/>
      <w:szCs w:val="18"/>
    </w:rPr>
  </w:style>
  <w:style w:type="character" w:customStyle="1" w:styleId="11">
    <w:name w:val="页脚 Char"/>
    <w:basedOn w:val="6"/>
    <w:link w:val="4"/>
    <w:uiPriority w:val="99"/>
    <w:rPr>
      <w:sz w:val="18"/>
      <w:szCs w:val="18"/>
    </w:rPr>
  </w:style>
  <w:style w:type="character" w:customStyle="1" w:styleId="12">
    <w:name w:val="批注框文本 Char"/>
    <w:basedOn w:val="6"/>
    <w:link w:val="3"/>
    <w:semiHidden/>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8EFEA79CA09450DB1738C28CAE09F2E"/>
        <w:style w:val=""/>
        <w:category>
          <w:name w:val="常规"/>
          <w:gallery w:val="placeholder"/>
        </w:category>
        <w:types>
          <w:type w:val="bbPlcHdr"/>
        </w:types>
        <w:behaviors>
          <w:behavior w:val="content"/>
        </w:behaviors>
        <w:description w:val=""/>
        <w:guid w:val="{B449560D-9280-4E4A-8435-EC8EA54F7A53}"/>
      </w:docPartPr>
      <w:docPartBody>
        <w:p>
          <w:pPr>
            <w:pStyle w:val="14"/>
          </w:pPr>
          <w:r>
            <w:rPr>
              <w:lang w:val="zh-CN"/>
            </w:rPr>
            <w:t>[键入文档标题]</w:t>
          </w:r>
        </w:p>
      </w:docPartBody>
    </w:docPart>
    <w:docPart>
      <w:docPartPr>
        <w:name w:val="1E28DCB86856447DB9EC8188076F6946"/>
        <w:style w:val=""/>
        <w:category>
          <w:name w:val="常规"/>
          <w:gallery w:val="placeholder"/>
        </w:category>
        <w:types>
          <w:type w:val="bbPlcHdr"/>
        </w:types>
        <w:behaviors>
          <w:behavior w:val="content"/>
        </w:behaviors>
        <w:description w:val=""/>
        <w:guid w:val="{22C4DEDA-1CB6-4139-8FCD-480032B7AE0C}"/>
      </w:docPartPr>
      <w:docPartBody>
        <w:p>
          <w:pPr>
            <w:pStyle w:val="15"/>
          </w:pPr>
          <w:r>
            <w:rPr>
              <w:lang w:val="zh-CN"/>
            </w:rPr>
            <w:t>[键入公司名称]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9E462F"/>
    <w:rsid w:val="005769A8"/>
    <w:rsid w:val="006E3DD1"/>
    <w:rsid w:val="009E46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 w:type="paragraph" w:customStyle="1" w:styleId="4">
    <w:name w:val="BE80853584B04A1C84E09EC0EA170B69"/>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E8902BB5CDF14C2AA3AABEC82614C1E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3FA64202D84146E08A71EE977C2AA43B"/>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9057D36C67254EFF94F3D82F2C70F1D0"/>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A17C0CD5353445C1BCD81456A4986CC1"/>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6826FE0373AF4103BB15198A75D6E640"/>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79C2809A2CCD46A6802F4D0905E9A5F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F2575A0F7CCD4E738C3E968AD41354A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05D5E36929A44C6E987F043B50B35EE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F3F1501B94804174B0F11F5DF7D54A2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
    <w:name w:val="78EFEA79CA09450DB1738C28CAE09F2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
    <w:name w:val="1E28DCB86856447DB9EC8188076F6946"/>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4"/>
    <customShpInfo spid="_x0000_s2053"/>
    <customShpInfo spid="_x0000_s2057"/>
    <customShpInfo spid="_x0000_s2058"/>
    <customShpInfo spid="_x0000_s2059"/>
    <customShpInfo spid="_x0000_s205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WWW.SERVYOU.COM.CN</Company>
  <Pages>1</Pages>
  <Words>8</Words>
  <Characters>50</Characters>
  <Lines>1</Lines>
  <Paragraphs>1</Paragraphs>
  <TotalTime>0</TotalTime>
  <ScaleCrop>false</ScaleCrop>
  <LinksUpToDate>false</LinksUpToDate>
  <CharactersWithSpaces>57</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2014-05-07T01:23:00Z</dcterms:created>
  <dc:creator>User</dc:creator>
  <cp:lastModifiedBy>Administrator</cp:lastModifiedBy>
  <dcterms:modified xsi:type="dcterms:W3CDTF">2018-04-19T08:28:07Z</dcterms:modified>
  <dc:title>专注税务 服务立身</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