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AA7D">
      <w:pPr>
        <w:pStyle w:val="2"/>
        <w:keepNext w:val="0"/>
        <w:keepLines w:val="0"/>
        <w:widowControl/>
        <w:numPr>
          <w:numId w:val="0"/>
        </w:numPr>
        <w:suppressLineNumbers w:val="0"/>
        <w:spacing w:line="240" w:lineRule="auto"/>
        <w:ind w:right="0" w:rightChars="0"/>
        <w:rPr>
          <w:rStyle w:val="5"/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  <w:lang w:eastAsia="zh-CN"/>
        </w:rPr>
        <w:t>【</w:t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val="en-US" w:eastAsia="zh-CN"/>
        </w:rPr>
        <w:t>原增值税下规定的视同销售情形</w:t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eastAsia="zh-CN"/>
        </w:rPr>
        <w:t>】</w:t>
      </w:r>
    </w:p>
    <w:p w14:paraId="5C9A3A1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rPr>
          <w:rStyle w:val="5"/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销售货物或者提供加工、修理修配劳务以及进口货物</w:t>
      </w:r>
    </w:p>
    <w:p w14:paraId="46C003BB">
      <w:pPr>
        <w:pStyle w:val="2"/>
        <w:keepNext w:val="0"/>
        <w:keepLines w:val="0"/>
        <w:widowControl/>
        <w:numPr>
          <w:numId w:val="0"/>
        </w:numPr>
        <w:suppressLineNumbers w:val="0"/>
        <w:spacing w:line="240" w:lineRule="auto"/>
        <w:ind w:right="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单位或者个体工商户的下列行为，视同销售货物：</w:t>
      </w:r>
    </w:p>
    <w:p w14:paraId="4CDEEEEB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（1)将货物交付其他单位或者个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</w:rPr>
        <w:t>人代销；</w:t>
      </w:r>
    </w:p>
    <w:p w14:paraId="49F017DE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（2)销售代销货物；</w:t>
      </w:r>
    </w:p>
    <w:p w14:paraId="72653D01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（3)设有两个以上机构并实行统一核算的纳税人，将货物从一个机构移送其他机构用于销售，但相关机构设在同一县（市)的除外；</w:t>
      </w:r>
    </w:p>
    <w:p w14:paraId="6262F26B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（4)将自产或者委托加工的货物用于非增值税应税项目；</w:t>
      </w:r>
    </w:p>
    <w:p w14:paraId="4529EB14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（5)将自产、委托加工的货物用于集体福利或者个人消费；</w:t>
      </w:r>
    </w:p>
    <w:p w14:paraId="1DFDBB95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（6)将自产、委托加工或者购进的货物作为投资，提供给其他单位或者个体工商户；</w:t>
      </w:r>
    </w:p>
    <w:p w14:paraId="57F3BFE6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（7)将自产、委托加工或者购进的货物分配给股东或者投资者；</w:t>
      </w:r>
    </w:p>
    <w:p w14:paraId="481E87B1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（8)将自产、委托加工或者购进的货物无偿赠送其他单位或者个人。</w:t>
      </w:r>
    </w:p>
    <w:p w14:paraId="7D37ED8A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2、视同销售服务、无形资产或者不动产：</w:t>
      </w:r>
    </w:p>
    <w:p w14:paraId="6B190487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（1)单位或者个体工商户向其他单位或者个人无偿提供服务，但用于公益事业或者以社会公众为对象的除外。</w:t>
      </w:r>
    </w:p>
    <w:p w14:paraId="622F5EBB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（2)单位或者个人向其他单位或者个人无偿转让无形资产或者不动产，但用于公益事业或者以社会公众为对象的除外。</w:t>
      </w:r>
    </w:p>
    <w:p w14:paraId="773DFA30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（3)财政部和国家税务总局规定的其他情形。</w:t>
      </w:r>
    </w:p>
    <w:p w14:paraId="092D6A76"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sz w:val="21"/>
          <w:szCs w:val="21"/>
        </w:rPr>
        <w:t>参考文件</w:t>
      </w:r>
      <w:r>
        <w:rPr>
          <w:rFonts w:hint="eastAsia" w:ascii="微软雅黑" w:hAnsi="微软雅黑" w:eastAsia="微软雅黑" w:cs="微软雅黑"/>
          <w:sz w:val="21"/>
          <w:szCs w:val="21"/>
        </w:rPr>
        <w:t>：《营业税改征增值税试点实施办法》（财税【2016】36号文件印发）；《中华人民共和国增值税暂行条例实施细则》（财政部令2011年第65号）。</w:t>
      </w:r>
    </w:p>
    <w:p w14:paraId="4E20A590">
      <w:pPr>
        <w:spacing w:line="24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4BFC"/>
    <w:multiLevelType w:val="singleLevel"/>
    <w:tmpl w:val="5CB04B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8454E"/>
    <w:rsid w:val="777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2025-12-31T02:52:11Z</dcterms:created>
  <dc:creator>zhaohong</dc:creator>
  <cp:lastModifiedBy>没有，涟漪</cp:lastModifiedBy>
  <dcterms:modified xsi:type="dcterms:W3CDTF">2025-12-31T02:54:06Z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eyJoZGlkIjoiYzlkYzFhODM5YzJmYWY4NmIzZTI2YzJkMDE4NjczZDUiLCJ1c2VySWQiOiIzNDU5ODM1NzYifQ==</vt:lpwstr>
  </property>
  <property fmtid="{D5CDD505-2E9C-101B-9397-08002B2CF9AE}" pid="4" name="ICV">
    <vt:lpwstr>AFFCECD6833F4AE084DA389EE6B4C2FC_12</vt:lpwstr>
  </property>
</Properties>
</file>