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0334B">
      <w:pPr>
        <w:pStyle w:val="6"/>
      </w:pPr>
      <w:bookmarkStart w:id="0" w:name="_Toc54267927"/>
      <w:r>
        <w:rPr>
          <w:rFonts w:hint="eastAsia"/>
        </w:rPr>
        <w:t>A105090</w:t>
      </w:r>
      <w:r>
        <w:rPr>
          <w:rFonts w:hint="eastAsia"/>
        </w:rPr>
        <w:tab/>
      </w:r>
      <w:r>
        <w:rPr>
          <w:rFonts w:hint="eastAsia"/>
        </w:rPr>
        <w:t>《资产损失税前扣除及纳税调整明细表》填报说明</w:t>
      </w:r>
      <w:bookmarkEnd w:id="0"/>
    </w:p>
    <w:p w14:paraId="518F2CEA">
      <w:pPr>
        <w:pStyle w:val="7"/>
      </w:pPr>
      <w:r>
        <w:rPr>
          <w:rFonts w:hint="eastAsia"/>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w:t>
      </w:r>
      <w:bookmarkStart w:id="13" w:name="_GoBack"/>
      <w:bookmarkEnd w:id="13"/>
      <w:r>
        <w:rPr>
          <w:rFonts w:hint="eastAsia"/>
        </w:rPr>
        <w:t>事项的公告》（2018年第15号）等相关规定，及国家统一企业会计制度，填报资产损失的会计处理、税收规定，以及纳税调整情况。</w:t>
      </w:r>
    </w:p>
    <w:p w14:paraId="0DD0F9A2">
      <w:pPr>
        <w:pStyle w:val="11"/>
        <w:spacing w:before="156"/>
        <w:ind w:firstLine="482"/>
        <w:rPr>
          <w:rFonts w:cs="宋体"/>
        </w:rPr>
      </w:pPr>
      <w:bookmarkStart w:id="1" w:name="_Toc54267561"/>
      <w:bookmarkStart w:id="2" w:name="_Toc54267928"/>
      <w:r>
        <w:rPr>
          <w:rFonts w:hint="eastAsia" w:cs="宋体"/>
        </w:rPr>
        <w:t>一、有关项目填报说明</w:t>
      </w:r>
      <w:bookmarkEnd w:id="1"/>
      <w:bookmarkEnd w:id="2"/>
    </w:p>
    <w:p w14:paraId="2FBE77E4">
      <w:pPr>
        <w:pStyle w:val="7"/>
      </w:pPr>
      <w:bookmarkStart w:id="3" w:name="_Toc54267929"/>
      <w:bookmarkStart w:id="4" w:name="_Toc54267562"/>
      <w:r>
        <w:rPr>
          <w:rFonts w:hint="eastAsia"/>
        </w:rPr>
        <w:t>（一）行次填报</w:t>
      </w:r>
      <w:bookmarkEnd w:id="3"/>
      <w:bookmarkEnd w:id="4"/>
    </w:p>
    <w:p w14:paraId="70700135">
      <w:pPr>
        <w:pStyle w:val="7"/>
      </w:pPr>
      <w:r>
        <w:rPr>
          <w:rFonts w:hint="eastAsia"/>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14:paraId="754C7963">
      <w:pPr>
        <w:pStyle w:val="7"/>
      </w:pPr>
      <w:r>
        <w:rPr>
          <w:rFonts w:hint="eastAsia"/>
        </w:rPr>
        <w:t>1.第1行“一、现金及银行存款损失”：填报纳税人当年发生的现金损失和银行存款损失的账载金额、资产处置收入、赔偿收入、资产计税基础、资产损失的税收金额及纳税调整金额。</w:t>
      </w:r>
    </w:p>
    <w:p w14:paraId="60D67460">
      <w:pPr>
        <w:pStyle w:val="7"/>
      </w:pPr>
      <w:r>
        <w:rPr>
          <w:rFonts w:hint="eastAsia"/>
        </w:rPr>
        <w:t>2.第2行“二、应收及预付款项坏账损失”：填报纳税人当年发生的应收及预付款项坏账损失的账载金额、资产损失准备金核销金额、资产处置收入、赔偿收入、资产计税基础、资产损失的税收金额及纳税调整金额。</w:t>
      </w:r>
    </w:p>
    <w:p w14:paraId="7BB3C0F6">
      <w:pPr>
        <w:pStyle w:val="7"/>
      </w:pPr>
      <w:r>
        <w:rPr>
          <w:rFonts w:hint="eastAsia"/>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14:paraId="7F762E60">
      <w:pPr>
        <w:pStyle w:val="7"/>
      </w:pPr>
      <w:r>
        <w:rPr>
          <w:rFonts w:hint="eastAsia"/>
        </w:rPr>
        <w:t>4.第4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损失准备金核销金额、资产处置收入、赔偿收入、资产计税基础、资产损失的税收金额及纳税调整金额。</w:t>
      </w:r>
    </w:p>
    <w:p w14:paraId="6EC87322">
      <w:pPr>
        <w:pStyle w:val="7"/>
      </w:pPr>
      <w:r>
        <w:rPr>
          <w:rFonts w:hint="eastAsia"/>
        </w:rPr>
        <w:t>5.第5行“三、存货损失”：填报纳税人当年发生的存货损失的账载金额、资产损失准备金核销金额、资产处置收入、赔偿收入、资产计税基础、资产损失的税收金额及纳税调整金额。</w:t>
      </w:r>
    </w:p>
    <w:p w14:paraId="6653FC74">
      <w:pPr>
        <w:pStyle w:val="7"/>
      </w:pPr>
      <w:r>
        <w:rPr>
          <w:rFonts w:hint="eastAsia"/>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14:paraId="2A98A1A7">
      <w:pPr>
        <w:pStyle w:val="7"/>
      </w:pPr>
      <w:r>
        <w:rPr>
          <w:rFonts w:hint="eastAsia"/>
        </w:rPr>
        <w:t>7.第7行“四、固定资产损失”：填报纳税人当年发生的固定资产损失的账载金额、资产损失准备金核销金额、资产处置收入、赔偿收入、资产计税基础、资产损失的税收金额及纳税调整金额。</w:t>
      </w:r>
    </w:p>
    <w:p w14:paraId="07987687">
      <w:pPr>
        <w:pStyle w:val="7"/>
      </w:pPr>
      <w:r>
        <w:rPr>
          <w:rFonts w:hint="eastAsia"/>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14:paraId="176EEE2A">
      <w:pPr>
        <w:pStyle w:val="7"/>
      </w:pPr>
      <w:r>
        <w:rPr>
          <w:rFonts w:hint="eastAsia"/>
        </w:rPr>
        <w:t>9.第9行“五、无形资产损失”：填报纳税人当年发生的无形资产损失的账载金额、资产损失准备金核销金额、资产处置收入、赔偿收入、资产计税基础、资产损失的税收金额及纳税调整金额。</w:t>
      </w:r>
    </w:p>
    <w:p w14:paraId="57B5CC7F">
      <w:pPr>
        <w:pStyle w:val="7"/>
      </w:pPr>
      <w:r>
        <w:rPr>
          <w:rFonts w:hint="eastAsia"/>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14:paraId="15D30194">
      <w:pPr>
        <w:pStyle w:val="7"/>
      </w:pPr>
      <w:r>
        <w:rPr>
          <w:rFonts w:hint="eastAsia"/>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14:paraId="597D0951">
      <w:pPr>
        <w:pStyle w:val="7"/>
      </w:pPr>
      <w:r>
        <w:rPr>
          <w:rFonts w:hint="eastAsia"/>
        </w:rPr>
        <w:t>12.第12行“六、在建工程损失”：填报纳税人当年发生的在建工程损失的账载金额、资产处置收入、赔偿收入、资产计税基础、资产损失的税收金额及纳税调整金额。</w:t>
      </w:r>
    </w:p>
    <w:p w14:paraId="7CE8F99C">
      <w:pPr>
        <w:pStyle w:val="7"/>
      </w:pPr>
      <w:r>
        <w:rPr>
          <w:rFonts w:hint="eastAsia"/>
        </w:rPr>
        <w:t>13.第13行“在建工程停建、报废损失”：填报纳税人当年发生的在建工程损失中，在建工程停建、报废损失的账载金额、资产处置收入、赔偿收入、资产计税基础、资产损失的税收金额及纳税调整金额。</w:t>
      </w:r>
    </w:p>
    <w:p w14:paraId="22D4101F">
      <w:pPr>
        <w:pStyle w:val="7"/>
      </w:pPr>
      <w:r>
        <w:rPr>
          <w:rFonts w:hint="eastAsia"/>
        </w:rPr>
        <w:t>14.第14行“七、生产性生物资产损失”：填报纳税人当年发生的生产性生物资产损失的账载金额、资产损失准备金核销金额、资产处置收入、赔偿收入、资产计税基础、资产损失的税收金额及纳税调整金额。</w:t>
      </w:r>
    </w:p>
    <w:p w14:paraId="2BB28FCF">
      <w:pPr>
        <w:pStyle w:val="7"/>
      </w:pPr>
      <w:r>
        <w:rPr>
          <w:rFonts w:hint="eastAsia"/>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14:paraId="0156DC39">
      <w:pPr>
        <w:pStyle w:val="7"/>
      </w:pPr>
      <w:r>
        <w:rPr>
          <w:rFonts w:hint="eastAsia"/>
        </w:rPr>
        <w:t>16.第16行“八、债权性投资损失”：填报纳税人当年发生的债权性投资损失的账载金额、资产损失准备金核销金额、资产处置收入、赔偿收入、资产计税基础、资产损失的税收金额及纳税调整金额。</w:t>
      </w:r>
    </w:p>
    <w:p w14:paraId="0C5CEE4B">
      <w:pPr>
        <w:pStyle w:val="7"/>
      </w:pPr>
      <w:r>
        <w:rPr>
          <w:rFonts w:hint="eastAsia"/>
        </w:rPr>
        <w:t>17.第17行“（一）金融企业债权性投资损失”：填报金融企业当年发生的债权性投资损失的账载金额、资产损失准备金核销金额、资产处置收入、赔偿收入、资产计税基础、资产损失的税收金额及纳税调整金额。</w:t>
      </w:r>
    </w:p>
    <w:p w14:paraId="7849E2FE">
      <w:pPr>
        <w:pStyle w:val="7"/>
      </w:pPr>
      <w:r>
        <w:rPr>
          <w:rFonts w:hint="eastAsia"/>
        </w:rPr>
        <w:t>18.第18行“1.贷款损失”：填报金融企业当年发生的贷款损失的账载金额、资产损失准备金核销金额、资产处置收入、赔偿收入、资产计税基础、资产损失的税收金额及纳税调整金额。</w:t>
      </w:r>
    </w:p>
    <w:p w14:paraId="0AD63880">
      <w:pPr>
        <w:pStyle w:val="7"/>
      </w:pPr>
      <w:r>
        <w:rPr>
          <w:rFonts w:hint="eastAsia"/>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14:paraId="5128B623">
      <w:pPr>
        <w:pStyle w:val="7"/>
      </w:pPr>
      <w:r>
        <w:rPr>
          <w:rFonts w:hint="eastAsia"/>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14:paraId="611477FF">
      <w:pPr>
        <w:pStyle w:val="7"/>
      </w:pPr>
      <w:r>
        <w:rPr>
          <w:rFonts w:hint="eastAsia"/>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入、资产计税基础、资产损失的税收金额及纳税调整金额。</w:t>
      </w:r>
    </w:p>
    <w:p w14:paraId="6A4308A2">
      <w:pPr>
        <w:pStyle w:val="7"/>
      </w:pPr>
      <w:r>
        <w:rPr>
          <w:rFonts w:hint="eastAsia"/>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14:paraId="2F1B5974">
      <w:pPr>
        <w:pStyle w:val="7"/>
      </w:pPr>
      <w:r>
        <w:rPr>
          <w:rFonts w:hint="eastAsia"/>
        </w:rPr>
        <w:t>23.第23行“（二）非金融企业债权性投资损失”：填报非金融企业当年发生的债权性投资损失的账载金额、资产损失准备金核销金额、资产处置收入、赔偿收入、资产计税基础、资产损失的税收金额及纳税调整金额。</w:t>
      </w:r>
    </w:p>
    <w:p w14:paraId="6C80BD8D">
      <w:pPr>
        <w:pStyle w:val="7"/>
      </w:pPr>
      <w:r>
        <w:rPr>
          <w:rFonts w:hint="eastAsia"/>
        </w:rPr>
        <w:t>24.第24行“九、股权（权益）性投资损失”：填报纳税人当年发生的股权（权益）性投资损失的账载金额、资产损失准备金核销金额、资产处置收入、赔偿收入、资产计税基础、资产损失的税收金额及纳税调整金额。</w:t>
      </w:r>
    </w:p>
    <w:p w14:paraId="37E97E06">
      <w:pPr>
        <w:pStyle w:val="7"/>
      </w:pPr>
      <w:r>
        <w:rPr>
          <w:rFonts w:hint="eastAsia"/>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14:paraId="22EC1F32">
      <w:pPr>
        <w:pStyle w:val="7"/>
      </w:pPr>
      <w:r>
        <w:rPr>
          <w:rFonts w:hint="eastAsia"/>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14:paraId="72237976">
      <w:pPr>
        <w:pStyle w:val="7"/>
      </w:pPr>
      <w:r>
        <w:rPr>
          <w:rFonts w:hint="eastAsia"/>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14:paraId="1E3FDAD7">
      <w:pPr>
        <w:pStyle w:val="7"/>
      </w:pPr>
      <w:r>
        <w:rPr>
          <w:rFonts w:hint="eastAsia"/>
        </w:rPr>
        <w:t>28.第28行“十二、其他资产损失”：填报纳税人当年发生的其他资产损失的账载金额、资产损失准备金核销金额、资产处置收入、赔偿收入、资产计税基础、资产损失的税收金额及纳税调整金额。</w:t>
      </w:r>
    </w:p>
    <w:p w14:paraId="7CDBD2E8">
      <w:pPr>
        <w:pStyle w:val="7"/>
      </w:pPr>
      <w:r>
        <w:rPr>
          <w:rFonts w:hint="eastAsia"/>
        </w:rPr>
        <w:t>29.第29行“合计”行次：填报第1+2+5+7+9+12+14+16+24+26+27+28行的合计金额。</w:t>
      </w:r>
    </w:p>
    <w:p w14:paraId="32C6B935">
      <w:pPr>
        <w:pStyle w:val="7"/>
      </w:pPr>
      <w:r>
        <w:rPr>
          <w:rFonts w:hint="eastAsia"/>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14:paraId="49D93FAF">
      <w:pPr>
        <w:pStyle w:val="7"/>
      </w:pPr>
      <w:bookmarkStart w:id="5" w:name="_Toc54267563"/>
      <w:bookmarkStart w:id="6" w:name="_Toc54267930"/>
      <w:r>
        <w:rPr>
          <w:rFonts w:hint="eastAsia"/>
        </w:rPr>
        <w:t>（二）列次填报</w:t>
      </w:r>
      <w:bookmarkEnd w:id="5"/>
      <w:bookmarkEnd w:id="6"/>
    </w:p>
    <w:p w14:paraId="06C21F42">
      <w:pPr>
        <w:pStyle w:val="7"/>
      </w:pPr>
      <w:r>
        <w:rPr>
          <w:rFonts w:hint="eastAsia"/>
        </w:rPr>
        <w:t>1.第1列“资产损失直接计入本年损益金额”：填报纳税人会计核算计入当期损益的对应项目的资产损失金额，不包含当年度通过准备金项目核销的资产损失金额。</w:t>
      </w:r>
    </w:p>
    <w:p w14:paraId="62B137C3">
      <w:pPr>
        <w:pStyle w:val="7"/>
      </w:pPr>
      <w:r>
        <w:rPr>
          <w:rFonts w:hint="eastAsia"/>
        </w:rPr>
        <w:t>2.第2列“资产损失准备金核销金额”：填报纳税人会计核算当年度通过准备金项目核销的资产损失金额。</w:t>
      </w:r>
    </w:p>
    <w:p w14:paraId="06A68EA0">
      <w:pPr>
        <w:pStyle w:val="7"/>
      </w:pPr>
      <w:r>
        <w:rPr>
          <w:rFonts w:hint="eastAsia"/>
        </w:rPr>
        <w:t>3.第3列“资产处置收入”：填报纳税人处置发生损失的资产可收回的残值或处置收益。</w:t>
      </w:r>
    </w:p>
    <w:p w14:paraId="4C624907">
      <w:pPr>
        <w:pStyle w:val="7"/>
      </w:pPr>
      <w:r>
        <w:rPr>
          <w:rFonts w:hint="eastAsia"/>
        </w:rPr>
        <w:t>4.第4列“赔偿收入”：填报纳税人发生的资产损失，取得的相关责任人、保险公司赔偿的金额。</w:t>
      </w:r>
    </w:p>
    <w:p w14:paraId="5F9F40BF">
      <w:pPr>
        <w:pStyle w:val="7"/>
      </w:pPr>
      <w:r>
        <w:rPr>
          <w:rFonts w:hint="eastAsia"/>
        </w:rPr>
        <w:t>5.第5列“资产计税基础”：填报纳税人按税收规定计算的发生损失时资产的计税基础，含损失资产涉及的不得抵扣增值税进项税额。</w:t>
      </w:r>
    </w:p>
    <w:p w14:paraId="2D46AE2A">
      <w:pPr>
        <w:pStyle w:val="7"/>
      </w:pPr>
      <w:r>
        <w:rPr>
          <w:rFonts w:hint="eastAsia"/>
        </w:rPr>
        <w:t>6.第6列“资产损失的税收金额”：填报按税收规定允许当期税前扣除的资产损失金额，按第5-3-4列金额填报。</w:t>
      </w:r>
    </w:p>
    <w:p w14:paraId="619C8ADA">
      <w:pPr>
        <w:pStyle w:val="7"/>
      </w:pPr>
      <w:r>
        <w:rPr>
          <w:rFonts w:hint="eastAsia"/>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14:paraId="17416389">
      <w:pPr>
        <w:pStyle w:val="11"/>
        <w:ind w:firstLine="482"/>
        <w:rPr>
          <w:rFonts w:cs="宋体"/>
        </w:rPr>
      </w:pPr>
      <w:bookmarkStart w:id="7" w:name="_Toc54267931"/>
      <w:bookmarkStart w:id="8" w:name="_Toc54267564"/>
      <w:r>
        <w:rPr>
          <w:rFonts w:hint="eastAsia" w:cs="宋体"/>
        </w:rPr>
        <w:t>二、表内、表间关系</w:t>
      </w:r>
      <w:bookmarkEnd w:id="7"/>
      <w:bookmarkEnd w:id="8"/>
    </w:p>
    <w:p w14:paraId="742510E4">
      <w:pPr>
        <w:pStyle w:val="7"/>
      </w:pPr>
      <w:bookmarkStart w:id="9" w:name="_Toc54267932"/>
      <w:bookmarkStart w:id="10" w:name="_Toc54267565"/>
      <w:r>
        <w:rPr>
          <w:rFonts w:hint="eastAsia"/>
        </w:rPr>
        <w:t>（一）表内关系</w:t>
      </w:r>
      <w:bookmarkEnd w:id="9"/>
      <w:bookmarkEnd w:id="10"/>
    </w:p>
    <w:p w14:paraId="1B57B810">
      <w:pPr>
        <w:pStyle w:val="7"/>
      </w:pPr>
      <w:r>
        <w:rPr>
          <w:rFonts w:hint="eastAsia"/>
        </w:rPr>
        <w:t>1.第16行＝第17+23行。</w:t>
      </w:r>
    </w:p>
    <w:p w14:paraId="7F318CB2">
      <w:pPr>
        <w:pStyle w:val="7"/>
      </w:pPr>
      <w:r>
        <w:rPr>
          <w:rFonts w:hint="eastAsia"/>
        </w:rPr>
        <w:t>2.第17行＝第18+22行。</w:t>
      </w:r>
    </w:p>
    <w:p w14:paraId="67EB646B">
      <w:pPr>
        <w:pStyle w:val="7"/>
      </w:pPr>
      <w:r>
        <w:rPr>
          <w:rFonts w:hint="eastAsia"/>
        </w:rPr>
        <w:t>3.第29行＝第1+2+5+7+9+12+14+16+24+26+27+28行。</w:t>
      </w:r>
    </w:p>
    <w:p w14:paraId="0556230D">
      <w:pPr>
        <w:pStyle w:val="7"/>
      </w:pPr>
      <w:r>
        <w:rPr>
          <w:rFonts w:hint="eastAsia"/>
        </w:rPr>
        <w:t>4.第6列＝第5-3-4列。</w:t>
      </w:r>
    </w:p>
    <w:p w14:paraId="1CD1BC2F">
      <w:pPr>
        <w:pStyle w:val="7"/>
      </w:pPr>
      <w:r>
        <w:rPr>
          <w:rFonts w:hint="eastAsia"/>
        </w:rPr>
        <w:t>5.政策性银行、商业银行、财务公司、城乡信用社、金融租赁公司以及经省级金融管理部门（金融办、局等）批准成立的小额贷款公司：第1至15行、第24至26行、第28行第7列＝第1-6列金额；第17至22行、第27行第7列＝第1+2-6列金额。</w:t>
      </w:r>
    </w:p>
    <w:p w14:paraId="4A6582D7">
      <w:pPr>
        <w:pStyle w:val="7"/>
      </w:pPr>
      <w:r>
        <w:rPr>
          <w:rFonts w:hint="eastAsia"/>
        </w:rPr>
        <w:t>其他企业：第7列＝第1-6列。</w:t>
      </w:r>
    </w:p>
    <w:p w14:paraId="4143E37C">
      <w:pPr>
        <w:pStyle w:val="7"/>
      </w:pPr>
      <w:bookmarkStart w:id="11" w:name="_Toc54267566"/>
      <w:bookmarkStart w:id="12" w:name="_Toc54267933"/>
      <w:r>
        <w:rPr>
          <w:rFonts w:hint="eastAsia"/>
        </w:rPr>
        <w:t>（二）表间关系</w:t>
      </w:r>
      <w:bookmarkEnd w:id="11"/>
      <w:bookmarkEnd w:id="12"/>
    </w:p>
    <w:p w14:paraId="526A062D">
      <w:pPr>
        <w:pStyle w:val="7"/>
        <w:sectPr>
          <w:pgSz w:w="11906" w:h="16838"/>
          <w:pgMar w:top="1418" w:right="1418" w:bottom="1191" w:left="1418" w:header="851" w:footer="992" w:gutter="113"/>
          <w:cols w:space="720" w:num="1"/>
          <w:titlePg/>
          <w:docGrid w:linePitch="312" w:charSpace="0"/>
        </w:sectPr>
      </w:pPr>
      <w:r>
        <w:rPr>
          <w:rFonts w:hint="eastAsia"/>
        </w:rPr>
        <w:t>若第29行第7列≥0，第29行第7列＝表A105000第34行第3列；若第29行第7列＜0，第29行第7列的绝对值＝表A105000第34行第4列</w:t>
      </w:r>
    </w:p>
    <w:p w14:paraId="6648356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E01D8"/>
    <w:rsid w:val="32F758A2"/>
    <w:rsid w:val="3D776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kern w:val="44"/>
      <w:sz w:val="20"/>
      <w:szCs w:val="20"/>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customStyle="1" w:styleId="6">
    <w:name w:val="标题11"/>
    <w:basedOn w:val="3"/>
    <w:qFormat/>
    <w:uiPriority w:val="99"/>
    <w:pPr>
      <w:spacing w:before="0" w:after="0" w:line="360" w:lineRule="auto"/>
      <w:jc w:val="center"/>
    </w:pPr>
    <w:rPr>
      <w:rFonts w:ascii="方正小标宋简体" w:hAnsi="宋体" w:eastAsia="方正小标宋简体" w:cs="宋体"/>
      <w:b w:val="0"/>
      <w:sz w:val="28"/>
      <w:szCs w:val="28"/>
    </w:rPr>
  </w:style>
  <w:style w:type="paragraph" w:customStyle="1" w:styleId="7">
    <w:name w:val="正文1"/>
    <w:basedOn w:val="1"/>
    <w:qFormat/>
    <w:uiPriority w:val="0"/>
    <w:pPr>
      <w:spacing w:line="360" w:lineRule="auto"/>
      <w:ind w:firstLine="480" w:firstLineChars="200"/>
    </w:pPr>
    <w:rPr>
      <w:rFonts w:ascii="宋体" w:hAnsi="宋体"/>
      <w:sz w:val="24"/>
    </w:rPr>
  </w:style>
  <w:style w:type="paragraph" w:customStyle="1" w:styleId="8">
    <w:name w:val="SBBT2"/>
    <w:basedOn w:val="9"/>
    <w:qFormat/>
    <w:uiPriority w:val="0"/>
    <w:pPr>
      <w:tabs>
        <w:tab w:val="center" w:pos="4678"/>
        <w:tab w:val="center" w:pos="6521"/>
      </w:tabs>
    </w:pPr>
  </w:style>
  <w:style w:type="paragraph" w:customStyle="1" w:styleId="9">
    <w:name w:val="SBBT1"/>
    <w:basedOn w:val="7"/>
    <w:qFormat/>
    <w:uiPriority w:val="99"/>
    <w:pPr>
      <w:tabs>
        <w:tab w:val="center" w:pos="4678"/>
      </w:tabs>
      <w:ind w:firstLine="0" w:firstLineChars="0"/>
      <w:jc w:val="left"/>
      <w:outlineLvl w:val="0"/>
    </w:pPr>
    <w:rPr>
      <w:rFonts w:cs="宋体"/>
      <w:b/>
      <w:bCs/>
      <w:kern w:val="0"/>
      <w:sz w:val="28"/>
      <w:szCs w:val="28"/>
    </w:rPr>
  </w:style>
  <w:style w:type="paragraph" w:customStyle="1" w:styleId="10">
    <w:name w:val="SBBT3"/>
    <w:basedOn w:val="1"/>
    <w:next w:val="1"/>
    <w:qFormat/>
    <w:uiPriority w:val="0"/>
    <w:pPr>
      <w:spacing w:line="360" w:lineRule="auto"/>
      <w:ind w:firstLine="200" w:firstLineChars="200"/>
      <w:outlineLvl w:val="2"/>
    </w:pPr>
    <w:rPr>
      <w:rFonts w:ascii="黑体" w:hAnsi="黑体" w:eastAsia="楷体_GB2312" w:cs="Calibri"/>
      <w:sz w:val="24"/>
    </w:rPr>
  </w:style>
  <w:style w:type="paragraph" w:customStyle="1" w:styleId="11">
    <w:name w:val="SBBL2"/>
    <w:basedOn w:val="1"/>
    <w:qFormat/>
    <w:uiPriority w:val="99"/>
    <w:pPr>
      <w:spacing w:line="360" w:lineRule="auto"/>
      <w:ind w:firstLine="200" w:firstLineChars="200"/>
      <w:jc w:val="left"/>
      <w:outlineLvl w:val="1"/>
    </w:pPr>
    <w:rPr>
      <w:rFonts w:ascii="宋体" w:hAnsi="宋体" w:cs="Calibri"/>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4382</Words>
  <Characters>4651</Characters>
  <Lines>0</Lines>
  <Paragraphs>0</Paragraphs>
  <TotalTime>0</TotalTime>
  <ScaleCrop>false</ScaleCrop>
  <LinksUpToDate>false</LinksUpToDate>
  <CharactersWithSpaces>4655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2025-02-24T08:53:09Z</dcterms:created>
  <dc:creator>Administrator</dc:creator>
  <cp:lastModifiedBy>没有，涟漪</cp:lastModifiedBy>
  <dcterms:modified xsi:type="dcterms:W3CDTF">2025-03-24T07:39:21Z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eyJoZGlkIjoiYmI5NGVjNzQ1ZDExNDgyNDE1ZjIxNWZjYmYzOTVhZDEifQ==</vt:lpwstr>
  </property>
  <property fmtid="{D5CDD505-2E9C-101B-9397-08002B2CF9AE}" pid="4" name="ICV">
    <vt:lpwstr>91F0A93D8A694541ACEB53A51F43FC05_13</vt:lpwstr>
  </property>
</Properties>
</file>