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jc w:val="center"/>
        <w:rPr>
          <w:rFonts w:hint="eastAsia" w:ascii="宋体" w:hAnsi="宋体" w:eastAsia="宋体" w:cs="黑体"/>
          <w:b/>
          <w:bCs/>
          <w:color w:val="000000"/>
          <w:sz w:val="32"/>
          <w:szCs w:val="32"/>
          <w:lang w:eastAsia="zh-CN"/>
        </w:rPr>
      </w:pPr>
      <w:r>
        <w:rPr>
          <w:rFonts w:hint="eastAsia" w:ascii="宋体" w:hAnsi="宋体" w:eastAsia="宋体" w:cs="黑体"/>
          <w:b/>
          <w:bCs/>
          <w:color w:val="000000"/>
          <w:sz w:val="32"/>
          <w:szCs w:val="32"/>
          <w:lang w:eastAsia="zh-CN"/>
        </w:rPr>
        <w:t>业务活动表格式及编制说明（执行民间非营利组织会计制度</w:t>
      </w:r>
      <w:bookmarkStart w:id="0" w:name="_GoBack"/>
      <w:bookmarkEnd w:id="0"/>
      <w:r>
        <w:rPr>
          <w:rFonts w:hint="eastAsia" w:ascii="宋体" w:hAnsi="宋体" w:eastAsia="宋体" w:cs="黑体"/>
          <w:b/>
          <w:bCs/>
          <w:color w:val="000000"/>
          <w:sz w:val="32"/>
          <w:szCs w:val="32"/>
          <w:lang w:eastAsia="zh-CN"/>
        </w:rPr>
        <w:t>）</w:t>
      </w:r>
    </w:p>
    <w:p>
      <w:pPr>
        <w:pStyle w:val="4"/>
        <w:spacing w:line="360" w:lineRule="auto"/>
        <w:jc w:val="center"/>
        <w:rPr>
          <w:rFonts w:ascii="宋体" w:hAnsi="宋体"/>
          <w:b/>
          <w:bCs/>
          <w:color w:val="000000"/>
        </w:rPr>
      </w:pPr>
      <w:r>
        <w:rPr>
          <w:rFonts w:hint="eastAsia" w:ascii="宋体" w:hAnsi="宋体"/>
          <w:b/>
          <w:bCs/>
          <w:color w:val="000000"/>
        </w:rPr>
        <w:t>业 务 活 动 表</w:t>
      </w:r>
    </w:p>
    <w:p>
      <w:pPr>
        <w:pStyle w:val="4"/>
        <w:spacing w:line="360" w:lineRule="auto"/>
        <w:jc w:val="center"/>
        <w:rPr>
          <w:color w:val="000000"/>
        </w:rPr>
      </w:pPr>
      <w:r>
        <w:rPr>
          <w:rFonts w:hint="eastAsia" w:ascii="宋体" w:hAnsi="宋体"/>
          <w:bCs/>
          <w:color w:val="000000"/>
        </w:rPr>
        <w:t>（适用执行民间非营利组织会计制度的组织）</w:t>
      </w:r>
    </w:p>
    <w:p>
      <w:pPr>
        <w:pStyle w:val="4"/>
        <w:spacing w:line="360" w:lineRule="auto"/>
        <w:ind w:firstLine="6930"/>
        <w:rPr>
          <w:color w:val="000000"/>
          <w:szCs w:val="21"/>
        </w:rPr>
      </w:pPr>
      <w:r>
        <w:rPr>
          <w:rFonts w:hint="eastAsia" w:ascii="宋体" w:hAnsi="宋体"/>
          <w:color w:val="000000"/>
          <w:szCs w:val="21"/>
        </w:rPr>
        <w:t>会民非02表</w:t>
      </w:r>
    </w:p>
    <w:p>
      <w:pPr>
        <w:pStyle w:val="4"/>
        <w:spacing w:line="360" w:lineRule="auto"/>
        <w:rPr>
          <w:color w:val="000000"/>
          <w:szCs w:val="21"/>
        </w:rPr>
      </w:pPr>
      <w:r>
        <w:rPr>
          <w:rFonts w:hint="eastAsia" w:ascii="宋体" w:hAnsi="宋体"/>
          <w:color w:val="000000"/>
          <w:szCs w:val="21"/>
        </w:rPr>
        <w:t>编制单位：</w:t>
      </w:r>
      <w:r>
        <w:rPr>
          <w:rFonts w:hint="eastAsia" w:ascii="宋体" w:hAnsi="宋体"/>
          <w:color w:val="000000"/>
          <w:szCs w:val="21"/>
          <w:u w:val="single"/>
        </w:rPr>
        <w:t xml:space="preserve">      </w:t>
      </w:r>
      <w:r>
        <w:rPr>
          <w:rFonts w:hint="eastAsia" w:ascii="宋体" w:hAnsi="宋体"/>
          <w:color w:val="000000"/>
          <w:szCs w:val="21"/>
        </w:rPr>
        <w:t>        </w:t>
      </w:r>
      <w:r>
        <w:rPr>
          <w:rFonts w:hint="eastAsia" w:ascii="宋体" w:hAnsi="宋体"/>
          <w:color w:val="000000"/>
          <w:szCs w:val="21"/>
          <w:u w:val="single"/>
        </w:rPr>
        <w:t>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   单位：元</w:t>
      </w:r>
    </w:p>
    <w:tbl>
      <w:tblPr>
        <w:tblStyle w:val="2"/>
        <w:tblW w:w="8522" w:type="dxa"/>
        <w:tblInd w:w="0" w:type="dxa"/>
        <w:tblLayout w:type="fixed"/>
        <w:tblCellMar>
          <w:top w:w="0" w:type="dxa"/>
          <w:left w:w="0" w:type="dxa"/>
          <w:bottom w:w="0" w:type="dxa"/>
          <w:right w:w="0" w:type="dxa"/>
        </w:tblCellMar>
      </w:tblPr>
      <w:tblGrid>
        <w:gridCol w:w="4023"/>
        <w:gridCol w:w="515"/>
        <w:gridCol w:w="813"/>
        <w:gridCol w:w="664"/>
        <w:gridCol w:w="515"/>
        <w:gridCol w:w="813"/>
        <w:gridCol w:w="664"/>
        <w:gridCol w:w="515"/>
      </w:tblGrid>
      <w:tr>
        <w:tblPrEx>
          <w:tblCellMar>
            <w:top w:w="0" w:type="dxa"/>
            <w:left w:w="0" w:type="dxa"/>
            <w:bottom w:w="0" w:type="dxa"/>
            <w:right w:w="0" w:type="dxa"/>
          </w:tblCellMar>
        </w:tblPrEx>
        <w:tc>
          <w:tcPr>
            <w:tcW w:w="4023"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项  目</w:t>
            </w:r>
          </w:p>
        </w:tc>
        <w:tc>
          <w:tcPr>
            <w:tcW w:w="515"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行次</w:t>
            </w:r>
          </w:p>
        </w:tc>
        <w:tc>
          <w:tcPr>
            <w:tcW w:w="1992" w:type="dxa"/>
            <w:gridSpan w:val="3"/>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本月数</w:t>
            </w:r>
          </w:p>
        </w:tc>
        <w:tc>
          <w:tcPr>
            <w:tcW w:w="1992" w:type="dxa"/>
            <w:gridSpan w:val="3"/>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本年累计数</w:t>
            </w:r>
          </w:p>
        </w:tc>
      </w:tr>
      <w:tr>
        <w:tblPrEx>
          <w:tblCellMar>
            <w:top w:w="0" w:type="dxa"/>
            <w:left w:w="0" w:type="dxa"/>
            <w:bottom w:w="0" w:type="dxa"/>
            <w:right w:w="0" w:type="dxa"/>
          </w:tblCellMar>
        </w:tblPrEx>
        <w:tc>
          <w:tcPr>
            <w:tcW w:w="4023" w:type="dxa"/>
            <w:vMerge w:val="continue"/>
            <w:tcBorders>
              <w:top w:val="single" w:color="auto" w:sz="8" w:space="0"/>
              <w:left w:val="single" w:color="auto" w:sz="8" w:space="0"/>
              <w:bottom w:val="single" w:color="auto" w:sz="8" w:space="0"/>
              <w:right w:val="single" w:color="auto" w:sz="8" w:space="0"/>
            </w:tcBorders>
            <w:noWrap w:val="0"/>
            <w:vAlign w:val="center"/>
          </w:tcPr>
          <w:p>
            <w:pPr>
              <w:pStyle w:val="4"/>
              <w:widowControl w:val="0"/>
              <w:rPr>
                <w:color w:val="000000"/>
                <w:szCs w:val="21"/>
              </w:rPr>
            </w:pPr>
          </w:p>
        </w:tc>
        <w:tc>
          <w:tcPr>
            <w:tcW w:w="515" w:type="dxa"/>
            <w:vMerge w:val="continue"/>
            <w:tcBorders>
              <w:top w:val="single" w:color="auto" w:sz="8" w:space="0"/>
              <w:left w:val="nil"/>
              <w:bottom w:val="single" w:color="auto" w:sz="8" w:space="0"/>
              <w:right w:val="single" w:color="auto" w:sz="8" w:space="0"/>
            </w:tcBorders>
            <w:noWrap w:val="0"/>
            <w:vAlign w:val="center"/>
          </w:tcPr>
          <w:p>
            <w:pPr>
              <w:pStyle w:val="4"/>
              <w:widowControl w:val="0"/>
              <w:rPr>
                <w:color w:val="000000"/>
                <w:szCs w:val="21"/>
              </w:rPr>
            </w:pP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非限定性</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限定性</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合计</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非限定性</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限定性</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pStyle w:val="4"/>
              <w:widowControl w:val="0"/>
              <w:spacing w:line="360" w:lineRule="auto"/>
              <w:jc w:val="center"/>
              <w:rPr>
                <w:color w:val="000000"/>
                <w:szCs w:val="21"/>
              </w:rPr>
            </w:pPr>
            <w:r>
              <w:rPr>
                <w:rFonts w:hint="eastAsia" w:ascii="宋体" w:hAnsi="宋体"/>
                <w:color w:val="000000"/>
                <w:szCs w:val="21"/>
              </w:rPr>
              <w:t>合计</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一、收  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其中：捐赠收入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会费收入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2</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提供服务收入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3</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商品销售收入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4</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政府补助收入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5</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投资收益</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6</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ind w:firstLine="720"/>
              <w:jc w:val="both"/>
              <w:rPr>
                <w:color w:val="000000"/>
                <w:szCs w:val="21"/>
              </w:rPr>
            </w:pPr>
            <w:r>
              <w:rPr>
                <w:rFonts w:hint="eastAsia" w:ascii="宋体" w:hAnsi="宋体"/>
                <w:color w:val="000000"/>
                <w:szCs w:val="21"/>
              </w:rPr>
              <w:t>其他收入</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9</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center"/>
              <w:rPr>
                <w:color w:val="000000"/>
                <w:szCs w:val="21"/>
              </w:rPr>
            </w:pPr>
            <w:r>
              <w:rPr>
                <w:rFonts w:hint="eastAsia" w:ascii="宋体" w:hAnsi="宋体"/>
                <w:color w:val="000000"/>
                <w:szCs w:val="21"/>
              </w:rPr>
              <w:t>收入合计</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11</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二、费  用</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（一）业务活动成本</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12</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其中：</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13</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14</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15</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16</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（二）管理费用</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21</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（三）筹资费用</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24</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（四）其他费用</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28</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center"/>
              <w:rPr>
                <w:color w:val="000000"/>
                <w:szCs w:val="21"/>
              </w:rPr>
            </w:pPr>
            <w:r>
              <w:rPr>
                <w:rFonts w:hint="eastAsia" w:ascii="宋体" w:hAnsi="宋体"/>
                <w:color w:val="000000"/>
                <w:szCs w:val="21"/>
              </w:rPr>
              <w:t>费用合计</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35</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三、限定性净资产转为非限定性净资产</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40</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r>
        <w:tblPrEx>
          <w:tblCellMar>
            <w:top w:w="0" w:type="dxa"/>
            <w:left w:w="0" w:type="dxa"/>
            <w:bottom w:w="0" w:type="dxa"/>
            <w:right w:w="0" w:type="dxa"/>
          </w:tblCellMar>
        </w:tblPrEx>
        <w:tc>
          <w:tcPr>
            <w:tcW w:w="402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四、净资产变动额</w:t>
            </w:r>
            <w:r>
              <w:rPr>
                <w:rFonts w:ascii="宋体" w:hAnsi="宋体" w:cs="宋体"/>
                <w:color w:val="000000"/>
                <w:szCs w:val="21"/>
              </w:rPr>
              <w:t>（若为净资产减少额，以“-”号填列）</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45</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8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664"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c>
          <w:tcPr>
            <w:tcW w:w="515"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pStyle w:val="4"/>
              <w:widowControl w:val="0"/>
              <w:spacing w:line="360" w:lineRule="auto"/>
              <w:jc w:val="both"/>
              <w:rPr>
                <w:color w:val="000000"/>
                <w:szCs w:val="21"/>
              </w:rPr>
            </w:pPr>
            <w:r>
              <w:rPr>
                <w:rFonts w:hint="eastAsia" w:ascii="宋体" w:hAnsi="宋体"/>
                <w:color w:val="000000"/>
                <w:szCs w:val="21"/>
              </w:rPr>
              <w:t> </w:t>
            </w:r>
          </w:p>
        </w:tc>
      </w:tr>
    </w:tbl>
    <w:p>
      <w:pPr>
        <w:pStyle w:val="4"/>
        <w:ind w:firstLine="422"/>
        <w:outlineLvl w:val="2"/>
        <w:rPr>
          <w:rFonts w:ascii="宋体" w:hAnsi="宋体" w:eastAsia="宋体" w:cs="Arial"/>
          <w:b/>
          <w:color w:val="000000"/>
        </w:rPr>
      </w:pPr>
      <w:r>
        <w:rPr>
          <w:rFonts w:hint="eastAsia" w:ascii="宋体" w:hAnsi="宋体" w:eastAsia="宋体" w:cs="Arial"/>
          <w:b/>
          <w:color w:val="000000"/>
        </w:rPr>
        <w:t>【表单说明】</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1.本表反映民间非营利组织在某一会计期间内开展业务活动的实际情况。</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2.本表“本月数”栏反映各项目的本月实际发生数；在编制季度、半年度等中期财务会计报告时，应当将本栏改为“本季度数”、“本半年度数”等本中期数栏，反映各项目本中期的实际发生数。在提供上年度比较报表时，应当增设可比期间栏目，反映可比期间各项目的实际发生数。如果本年度业务活动表规定的各个项目的名称和内容同上年度不相一致，应对上年度业务活动表各项目的名称和数字按照本年度的规定进行调整，填入本表上年度可比期间栏目内。</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本表“本年累计数”栏反映各项目自年初起至报告期末止的累计实际发生数。</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本表“非限定性”栏反映本期非限定性收入的实际发生数、本期费用的实际发生数和本期由限定性净资产转为非限定性净资产的金额；本表“限定性”栏反映本期限定性收入的实际发生数和本期由限定性净资产转为非限定性净资产的金额（以“－”号填列）。在提供上年度比较报表项目金额时，限定性和非限定性栏目的金额可以合并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3.本表各项目的内容和填列方法：</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（1）“捐赠收入”项目，反映民间非营利组织接受其他单位或者个人捐赠所取得的收入总额。本项目应当根据“捐赠收入”科目的发生额填列。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（2）“会费收入”项目，反映民间非营利组织根据章程等的规定向会员收取的会费总额。本项目应当根据“会费收入”科目的发生额填列。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（3）“提供服务收入”项目，反映民间非营利组织根据章程等的规定向其服务对象提供服务取得的收入总额。本项目应当根据“提供服务收入”科目的发生额填列。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（4）“商品销售收入”项目，反映民间非营利组织销售商品等所形成的收入总额。本项目应当根据“商品销售收入”科目的发生额填列。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（5）“政府补助收入”项目，反映民间非营利组织接受政府拨款或者政府机构给予的补助而取得的收入总额。本项目应当根据“政府补助收入”科目的发生额填列。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（6）“投资收益”项目，反映民间非营利组织以各种方式对外投资所取得的投资净损益。本项目应当根据“投资收益”科目的贷方发生额填列；如果为借方发生额，则以“－”号填列。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（7）“其他收入”项目，反映民间非营利组织除上述收入项目之外所取得的其他收入总额。本项目应当根据“其他收入”科目的发生额填列。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上述各项收入项目应当区分“限定性”和“非限定性”分别填列。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（8）“业务活动成本”项目，反映民间非营利组织为了实现其业务活动目标、开展其项目活动或者提供服务所发生的费用。本项目应当根据“业务活动成本”科目的发生额填列。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民间非营利组织应当根据其所从事的项目、提供的服务或者开展的业务等具体情况，按照“业务活动成本”科目中各明细科目的发生额，在本表第12行至第21行之间填列业务活动成本的各组成部分。</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（9）“管理费用”项目，反映民间非营利组织为组织和管理其业务活动所发生的各项费用总额。本项目应当根据“管理费用”科目的发生额填列。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10）“筹资费用”项目，反映民间非营利组织为筹集业务活动所需资金而发生的各项费用总额，包括利息支出（减利息收入）、汇兑损失（减汇兑收益）以及相关手续费等。本项目应当根据“筹资费用”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（11）“其他费用”项目，反映民间非营利组织除以上费用项目之外发生的其他费用总额。本项目应当根据有关科目的发生额填列。</w:t>
      </w:r>
    </w:p>
    <w:p>
      <w:pPr>
        <w:pStyle w:val="4"/>
        <w:ind w:firstLine="420"/>
        <w:rPr>
          <w:rFonts w:ascii="宋体" w:hAnsi="宋体" w:eastAsia="宋体" w:cs="Arial"/>
          <w:color w:val="000000"/>
          <w:sz w:val="21"/>
          <w:szCs w:val="21"/>
        </w:rPr>
      </w:pPr>
      <w:r>
        <w:rPr>
          <w:rFonts w:hint="eastAsia" w:ascii="宋体" w:hAnsi="宋体" w:eastAsia="宋体" w:cs="Arial"/>
          <w:color w:val="000000"/>
          <w:sz w:val="21"/>
          <w:szCs w:val="21"/>
        </w:rPr>
        <w:t>（12）“限定性净资产转为非限定性净资产”项目，反映民间非营利组织当期从限定性净资产转入非限定性净资产的金额。本项目应当根据“限定性净资产”、“非限定性净资产”科目的发生额分析填列。</w:t>
      </w:r>
    </w:p>
    <w:p>
      <w:pPr>
        <w:pStyle w:val="4"/>
        <w:ind w:firstLine="420"/>
        <w:rPr>
          <w:rFonts w:ascii="宋体" w:hAnsi="宋体" w:eastAsia="宋体" w:cs="Arial"/>
          <w:color w:val="000000"/>
        </w:rPr>
        <w:sectPr>
          <w:pgSz w:w="11906" w:h="16838"/>
          <w:pgMar w:top="1440" w:right="1800" w:bottom="1440" w:left="1800" w:header="851" w:footer="992" w:gutter="0"/>
          <w:cols w:space="720" w:num="1"/>
          <w:docGrid w:type="lines" w:linePitch="312" w:charSpace="0"/>
        </w:sectPr>
      </w:pPr>
      <w:r>
        <w:rPr>
          <w:rFonts w:hint="eastAsia" w:ascii="宋体" w:hAnsi="宋体" w:eastAsia="宋体" w:cs="Arial"/>
          <w:color w:val="000000"/>
          <w:sz w:val="21"/>
          <w:szCs w:val="21"/>
        </w:rPr>
        <w:t>（13）“净资产变动额”项目，反映民间非营利组织当期净资产变动的金额。本项目应当根据本表“收入合计”项目的金额，减去“费用合计”项目的金额，再加上“限定性净资产转为非限定性净资产”项目的金额后填列</w:t>
      </w:r>
      <w:r>
        <w:rPr>
          <w:rFonts w:hint="eastAsia" w:ascii="宋体" w:hAnsi="宋体" w:eastAsia="宋体" w:cs="Arial"/>
          <w:color w:val="000000"/>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CC"/>
    <w:rsid w:val="009A65CC"/>
    <w:rsid w:val="1741601D"/>
    <w:rsid w:val="44107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正文_0"/>
    <w:qFormat/>
    <w:uiPriority w:val="0"/>
    <w:rPr>
      <w:rFonts w:ascii="Times New Roman" w:hAnsi="Times New Roman" w:eastAsia="Times New Roman" w:cs="Times New Roman"/>
      <w:sz w:val="24"/>
      <w:szCs w:val="24"/>
      <w:lang w:val="en-US" w:eastAsia="zh-CN" w:bidi="ar-SA"/>
    </w:rPr>
  </w:style>
  <w:style w:type="paragraph" w:customStyle="1" w:styleId="5">
    <w:name w:val="二级标题_0"/>
    <w:basedOn w:val="1"/>
    <w:qFormat/>
    <w:uiPriority w:val="0"/>
    <w:pPr>
      <w:widowControl/>
      <w:ind w:firstLine="420"/>
      <w:jc w:val="left"/>
      <w:outlineLvl w:val="3"/>
    </w:pPr>
    <w:rPr>
      <w:rFonts w:ascii="Arial" w:hAnsi="Arial" w:eastAsia="Times New Roman" w:cs="Arial"/>
      <w:kern w:val="0"/>
      <w:sz w:val="24"/>
      <w:szCs w:val="24"/>
    </w:rPr>
  </w:style>
  <w:style w:type="paragraph" w:customStyle="1" w:styleId="6">
    <w:name w:val="需求正文_0"/>
    <w:basedOn w:val="1"/>
    <w:qFormat/>
    <w:uiPriority w:val="0"/>
    <w:pPr>
      <w:widowControl/>
      <w:ind w:firstLine="420"/>
      <w:jc w:val="left"/>
    </w:pPr>
    <w:rPr>
      <w:rFonts w:ascii="Arial" w:hAnsi="Arial"/>
      <w:szCs w:val="24"/>
    </w:rPr>
  </w:style>
  <w:style w:type="paragraph" w:customStyle="1" w:styleId="7">
    <w:name w:val="列出段落1"/>
    <w:basedOn w:val="4"/>
    <w:qFormat/>
    <w:uiPriority w:val="34"/>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2019-10-30T09:04:00Z</dcterms:created>
  <dc:creator>陈莉佳</dc:creator>
  <cp:lastModifiedBy>Administrator</cp:lastModifiedBy>
  <dcterms:modified xsi:type="dcterms:W3CDTF">2021-04-25T06:23:54Z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