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pPr>
      <w:bookmarkStart w:id="0" w:name="_Toc527722730"/>
      <w:r>
        <w:rPr>
          <w:rFonts w:hint="eastAsia"/>
        </w:rPr>
        <w:t>中华人民共和国企业所得税年度纳税申报表封面</w:t>
      </w:r>
      <w:bookmarkEnd w:id="0"/>
    </w:p>
    <w:tbl>
      <w:tblPr>
        <w:tblStyle w:val="8"/>
        <w:tblW w:w="9789" w:type="dxa"/>
        <w:jc w:val="center"/>
        <w:tblLayout w:type="fixed"/>
        <w:tblCellMar>
          <w:top w:w="0" w:type="dxa"/>
          <w:left w:w="108" w:type="dxa"/>
          <w:bottom w:w="0" w:type="dxa"/>
          <w:right w:w="108" w:type="dxa"/>
        </w:tblCellMar>
      </w:tblPr>
      <w:tblGrid>
        <w:gridCol w:w="626"/>
        <w:gridCol w:w="454"/>
        <w:gridCol w:w="1079"/>
        <w:gridCol w:w="960"/>
        <w:gridCol w:w="27"/>
        <w:gridCol w:w="1053"/>
        <w:gridCol w:w="672"/>
        <w:gridCol w:w="408"/>
        <w:gridCol w:w="236"/>
        <w:gridCol w:w="2162"/>
        <w:gridCol w:w="1082"/>
        <w:gridCol w:w="372"/>
        <w:gridCol w:w="612"/>
        <w:gridCol w:w="46"/>
      </w:tblGrid>
      <w:tr>
        <w:tblPrEx>
          <w:tblCellMar>
            <w:top w:w="0" w:type="dxa"/>
            <w:left w:w="108" w:type="dxa"/>
            <w:bottom w:w="0" w:type="dxa"/>
            <w:right w:w="108" w:type="dxa"/>
          </w:tblCellMar>
        </w:tblPrEx>
        <w:trPr>
          <w:trHeight w:val="285" w:hRule="atLeast"/>
          <w:jc w:val="center"/>
        </w:trPr>
        <w:tc>
          <w:tcPr>
            <w:tcW w:w="9789" w:type="dxa"/>
            <w:gridSpan w:val="14"/>
            <w:noWrap w:val="0"/>
            <w:vAlign w:val="bottom"/>
          </w:tcPr>
          <w:p>
            <w:pPr>
              <w:widowControl/>
              <w:jc w:val="center"/>
              <w:rPr>
                <w:rFonts w:ascii="宋体"/>
                <w:b/>
                <w:bCs/>
                <w:kern w:val="0"/>
                <w:sz w:val="24"/>
                <w:szCs w:val="24"/>
              </w:rPr>
            </w:pPr>
            <w:r>
              <w:rPr>
                <w:rFonts w:hint="eastAsia" w:ascii="宋体" w:hAnsi="宋体" w:cs="宋体"/>
                <w:b/>
                <w:bCs/>
                <w:kern w:val="0"/>
                <w:sz w:val="24"/>
                <w:szCs w:val="24"/>
              </w:rPr>
              <w:t>（</w:t>
            </w:r>
            <w:r>
              <w:rPr>
                <w:rFonts w:ascii="宋体" w:hAnsi="宋体" w:cs="宋体"/>
                <w:b/>
                <w:bCs/>
                <w:kern w:val="0"/>
                <w:sz w:val="24"/>
                <w:szCs w:val="24"/>
              </w:rPr>
              <w:t>A</w:t>
            </w:r>
            <w:r>
              <w:rPr>
                <w:rFonts w:hint="eastAsia" w:ascii="宋体" w:hAnsi="宋体" w:cs="宋体"/>
                <w:b/>
                <w:bCs/>
                <w:kern w:val="0"/>
                <w:sz w:val="24"/>
                <w:szCs w:val="24"/>
              </w:rPr>
              <w:t>类</w:t>
            </w:r>
            <w:r>
              <w:rPr>
                <w:rFonts w:ascii="宋体" w:hAnsi="宋体" w:cs="宋体"/>
                <w:b/>
                <w:bCs/>
                <w:kern w:val="0"/>
                <w:sz w:val="24"/>
                <w:szCs w:val="24"/>
              </w:rPr>
              <w:t xml:space="preserve"> , 2017</w:t>
            </w:r>
            <w:r>
              <w:rPr>
                <w:rFonts w:hint="eastAsia" w:ascii="宋体" w:hAnsi="宋体" w:cs="宋体"/>
                <w:b/>
                <w:bCs/>
                <w:kern w:val="0"/>
                <w:sz w:val="24"/>
                <w:szCs w:val="24"/>
              </w:rPr>
              <w:t>年版）</w:t>
            </w:r>
          </w:p>
        </w:tc>
      </w:tr>
      <w:tr>
        <w:tblPrEx>
          <w:tblCellMar>
            <w:top w:w="0" w:type="dxa"/>
            <w:left w:w="108" w:type="dxa"/>
            <w:bottom w:w="0" w:type="dxa"/>
            <w:right w:w="108" w:type="dxa"/>
          </w:tblCellMar>
        </w:tblPrEx>
        <w:trPr>
          <w:trHeight w:val="479" w:hRule="atLeast"/>
          <w:jc w:val="center"/>
        </w:trPr>
        <w:tc>
          <w:tcPr>
            <w:tcW w:w="9789" w:type="dxa"/>
            <w:gridSpan w:val="14"/>
            <w:noWrap w:val="0"/>
            <w:vAlign w:val="bottom"/>
          </w:tcPr>
          <w:p>
            <w:pPr>
              <w:widowControl/>
              <w:ind w:left="630" w:leftChars="300"/>
              <w:jc w:val="left"/>
              <w:rPr>
                <w:rFonts w:ascii="宋体"/>
                <w:kern w:val="0"/>
                <w:sz w:val="24"/>
                <w:szCs w:val="24"/>
              </w:rPr>
            </w:pPr>
          </w:p>
        </w:tc>
      </w:tr>
      <w:tr>
        <w:tblPrEx>
          <w:tblCellMar>
            <w:top w:w="0" w:type="dxa"/>
            <w:left w:w="108" w:type="dxa"/>
            <w:bottom w:w="0" w:type="dxa"/>
            <w:right w:w="108" w:type="dxa"/>
          </w:tblCellMar>
        </w:tblPrEx>
        <w:trPr>
          <w:trHeight w:val="680" w:hRule="atLeast"/>
          <w:jc w:val="center"/>
        </w:trPr>
        <w:tc>
          <w:tcPr>
            <w:tcW w:w="9789" w:type="dxa"/>
            <w:gridSpan w:val="14"/>
            <w:noWrap w:val="0"/>
            <w:vAlign w:val="center"/>
          </w:tcPr>
          <w:p>
            <w:pPr>
              <w:widowControl/>
              <w:ind w:left="1000" w:leftChars="476"/>
              <w:rPr>
                <w:rFonts w:ascii="宋体"/>
                <w:kern w:val="0"/>
                <w:sz w:val="24"/>
                <w:szCs w:val="24"/>
              </w:rPr>
            </w:pPr>
            <w:r>
              <w:rPr>
                <w:rFonts w:hint="eastAsia" w:ascii="宋体" w:hAnsi="宋体" w:cs="宋体"/>
                <w:kern w:val="0"/>
                <w:sz w:val="24"/>
                <w:szCs w:val="24"/>
              </w:rPr>
              <w:t>税款所属期间：    年    月    日 至        年    月    日</w:t>
            </w:r>
          </w:p>
        </w:tc>
      </w:tr>
      <w:tr>
        <w:tblPrEx>
          <w:tblCellMar>
            <w:top w:w="0" w:type="dxa"/>
            <w:left w:w="108" w:type="dxa"/>
            <w:bottom w:w="0" w:type="dxa"/>
            <w:right w:w="108" w:type="dxa"/>
          </w:tblCellMar>
        </w:tblPrEx>
        <w:trPr>
          <w:trHeight w:val="680" w:hRule="atLeast"/>
          <w:jc w:val="center"/>
        </w:trPr>
        <w:tc>
          <w:tcPr>
            <w:tcW w:w="3146" w:type="dxa"/>
            <w:gridSpan w:val="5"/>
            <w:noWrap w:val="0"/>
            <w:vAlign w:val="center"/>
          </w:tcPr>
          <w:p>
            <w:pPr>
              <w:widowControl/>
              <w:rPr>
                <w:rFonts w:ascii="宋体"/>
                <w:kern w:val="0"/>
                <w:sz w:val="24"/>
                <w:szCs w:val="24"/>
              </w:rPr>
            </w:pPr>
            <w:r>
              <w:rPr>
                <w:rFonts w:hint="eastAsia" w:ascii="宋体" w:hAnsi="宋体" w:cs="宋体"/>
                <w:kern w:val="0"/>
                <w:sz w:val="24"/>
                <w:szCs w:val="24"/>
              </w:rPr>
              <w:t xml:space="preserve">        纳税人识别号</w:t>
            </w:r>
          </w:p>
          <w:p>
            <w:pPr>
              <w:widowControl/>
              <w:rPr>
                <w:rFonts w:ascii="宋体"/>
                <w:kern w:val="0"/>
                <w:sz w:val="24"/>
                <w:szCs w:val="24"/>
              </w:rPr>
            </w:pPr>
            <w:r>
              <w:rPr>
                <w:rFonts w:hint="eastAsia" w:ascii="宋体" w:hAnsi="宋体" w:cs="宋体"/>
                <w:kern w:val="0"/>
                <w:sz w:val="24"/>
                <w:szCs w:val="24"/>
              </w:rPr>
              <w:t xml:space="preserve">    （统一社会信用代码）：</w:t>
            </w:r>
          </w:p>
        </w:tc>
        <w:tc>
          <w:tcPr>
            <w:tcW w:w="6643" w:type="dxa"/>
            <w:gridSpan w:val="9"/>
            <w:noWrap w:val="0"/>
            <w:vAlign w:val="center"/>
          </w:tcPr>
          <w:p>
            <w:pPr>
              <w:widowControl/>
              <w:ind w:left="-105" w:leftChars="-50" w:right="-105" w:rightChars="-50"/>
              <w:rPr>
                <w:rFonts w:ascii="宋体"/>
                <w:kern w:val="0"/>
                <w:sz w:val="28"/>
                <w:szCs w:val="28"/>
              </w:rPr>
            </w:pPr>
            <w:r>
              <w:rPr>
                <w:rFonts w:hint="eastAsia" w:ascii="宋体" w:hAnsi="宋体" w:cs="宋体"/>
                <w:kern w:val="0"/>
                <w:sz w:val="28"/>
                <w:szCs w:val="28"/>
              </w:rPr>
              <w:t>□□□□□□□□□□□□□□□□□□</w:t>
            </w:r>
          </w:p>
        </w:tc>
      </w:tr>
      <w:tr>
        <w:tblPrEx>
          <w:tblCellMar>
            <w:top w:w="0" w:type="dxa"/>
            <w:left w:w="108" w:type="dxa"/>
            <w:bottom w:w="0" w:type="dxa"/>
            <w:right w:w="108" w:type="dxa"/>
          </w:tblCellMar>
        </w:tblPrEx>
        <w:trPr>
          <w:trHeight w:val="680" w:hRule="atLeast"/>
          <w:jc w:val="center"/>
        </w:trPr>
        <w:tc>
          <w:tcPr>
            <w:tcW w:w="9789" w:type="dxa"/>
            <w:gridSpan w:val="14"/>
            <w:noWrap w:val="0"/>
            <w:vAlign w:val="center"/>
          </w:tcPr>
          <w:p>
            <w:pPr>
              <w:widowControl/>
              <w:ind w:left="1000" w:leftChars="476"/>
              <w:rPr>
                <w:rFonts w:ascii="宋体"/>
                <w:kern w:val="0"/>
                <w:sz w:val="24"/>
                <w:szCs w:val="24"/>
              </w:rPr>
            </w:pPr>
            <w:r>
              <w:rPr>
                <w:rFonts w:hint="eastAsia" w:ascii="宋体" w:hAnsi="宋体" w:cs="宋体"/>
                <w:kern w:val="0"/>
                <w:sz w:val="24"/>
                <w:szCs w:val="24"/>
              </w:rPr>
              <w:t>纳税人名称：</w:t>
            </w:r>
          </w:p>
        </w:tc>
      </w:tr>
      <w:tr>
        <w:tblPrEx>
          <w:tblCellMar>
            <w:top w:w="0" w:type="dxa"/>
            <w:left w:w="108" w:type="dxa"/>
            <w:bottom w:w="0" w:type="dxa"/>
            <w:right w:w="108" w:type="dxa"/>
          </w:tblCellMar>
        </w:tblPrEx>
        <w:trPr>
          <w:trHeight w:val="680" w:hRule="atLeast"/>
          <w:jc w:val="center"/>
        </w:trPr>
        <w:tc>
          <w:tcPr>
            <w:tcW w:w="9789" w:type="dxa"/>
            <w:gridSpan w:val="14"/>
            <w:noWrap w:val="0"/>
            <w:vAlign w:val="center"/>
          </w:tcPr>
          <w:p>
            <w:pPr>
              <w:widowControl/>
              <w:ind w:left="1000" w:leftChars="476"/>
              <w:rPr>
                <w:rFonts w:ascii="宋体"/>
                <w:kern w:val="0"/>
                <w:sz w:val="24"/>
                <w:szCs w:val="24"/>
              </w:rPr>
            </w:pPr>
            <w:r>
              <w:rPr>
                <w:rFonts w:hint="eastAsia" w:ascii="宋体" w:hAnsi="宋体" w:cs="宋体"/>
                <w:kern w:val="0"/>
                <w:sz w:val="24"/>
                <w:szCs w:val="24"/>
              </w:rPr>
              <w:t>金额单位：人民币元（列至角分）</w:t>
            </w:r>
          </w:p>
        </w:tc>
      </w:tr>
      <w:tr>
        <w:tblPrEx>
          <w:tblCellMar>
            <w:top w:w="0" w:type="dxa"/>
            <w:left w:w="108" w:type="dxa"/>
            <w:bottom w:w="0" w:type="dxa"/>
            <w:right w:w="108" w:type="dxa"/>
          </w:tblCellMar>
        </w:tblPrEx>
        <w:trPr>
          <w:trHeight w:val="375" w:hRule="atLeast"/>
          <w:jc w:val="center"/>
        </w:trPr>
        <w:tc>
          <w:tcPr>
            <w:tcW w:w="9789" w:type="dxa"/>
            <w:gridSpan w:val="14"/>
            <w:noWrap w:val="0"/>
            <w:vAlign w:val="top"/>
          </w:tcPr>
          <w:p>
            <w:pPr>
              <w:widowControl/>
              <w:jc w:val="left"/>
              <w:rPr>
                <w:rFonts w:eastAsia="Times New Roman"/>
                <w:kern w:val="0"/>
                <w:sz w:val="20"/>
                <w:szCs w:val="20"/>
              </w:rPr>
            </w:pPr>
          </w:p>
        </w:tc>
      </w:tr>
      <w:tr>
        <w:tblPrEx>
          <w:tblCellMar>
            <w:top w:w="0" w:type="dxa"/>
            <w:left w:w="108" w:type="dxa"/>
            <w:bottom w:w="0" w:type="dxa"/>
            <w:right w:w="108" w:type="dxa"/>
          </w:tblCellMar>
        </w:tblPrEx>
        <w:trPr>
          <w:trHeight w:val="624" w:hRule="atLeast"/>
          <w:jc w:val="center"/>
        </w:trPr>
        <w:tc>
          <w:tcPr>
            <w:tcW w:w="9789" w:type="dxa"/>
            <w:gridSpan w:val="14"/>
            <w:vMerge w:val="restart"/>
            <w:noWrap w:val="0"/>
            <w:vAlign w:val="center"/>
          </w:tcPr>
          <w:p>
            <w:pPr>
              <w:widowControl/>
              <w:ind w:left="420" w:leftChars="200" w:right="420" w:rightChars="200" w:firstLine="560" w:firstLineChars="200"/>
              <w:jc w:val="left"/>
              <w:rPr>
                <w:rFonts w:ascii="宋体"/>
                <w:b/>
                <w:bCs/>
                <w:kern w:val="0"/>
                <w:sz w:val="28"/>
                <w:szCs w:val="28"/>
              </w:rPr>
            </w:pPr>
            <w:r>
              <w:rPr>
                <w:rFonts w:hint="eastAsia" w:ascii="宋体" w:hAnsi="宋体" w:cs="宋体"/>
                <w:b/>
                <w:bCs/>
                <w:kern w:val="0"/>
                <w:sz w:val="28"/>
                <w:szCs w:val="28"/>
              </w:rPr>
              <w:t>谨声明：本纳税申报表是根据国家税收法律法规及相关规定填报的，是真实的、可靠的、完整的。</w:t>
            </w:r>
          </w:p>
        </w:tc>
      </w:tr>
      <w:tr>
        <w:tblPrEx>
          <w:tblCellMar>
            <w:top w:w="0" w:type="dxa"/>
            <w:left w:w="108" w:type="dxa"/>
            <w:bottom w:w="0" w:type="dxa"/>
            <w:right w:w="108" w:type="dxa"/>
          </w:tblCellMar>
        </w:tblPrEx>
        <w:trPr>
          <w:trHeight w:val="624" w:hRule="atLeast"/>
          <w:jc w:val="center"/>
        </w:trPr>
        <w:tc>
          <w:tcPr>
            <w:tcW w:w="9789" w:type="dxa"/>
            <w:gridSpan w:val="14"/>
            <w:vMerge w:val="continue"/>
            <w:noWrap w:val="0"/>
            <w:vAlign w:val="center"/>
          </w:tcPr>
          <w:p>
            <w:pPr>
              <w:widowControl/>
              <w:jc w:val="left"/>
              <w:rPr>
                <w:rFonts w:ascii="宋体"/>
                <w:b/>
                <w:bCs/>
                <w:kern w:val="0"/>
                <w:sz w:val="28"/>
                <w:szCs w:val="28"/>
              </w:rPr>
            </w:pPr>
          </w:p>
        </w:tc>
      </w:tr>
      <w:tr>
        <w:tblPrEx>
          <w:tblCellMar>
            <w:top w:w="0" w:type="dxa"/>
            <w:left w:w="108" w:type="dxa"/>
            <w:bottom w:w="0" w:type="dxa"/>
            <w:right w:w="108" w:type="dxa"/>
          </w:tblCellMar>
        </w:tblPrEx>
        <w:trPr>
          <w:trHeight w:val="720" w:hRule="atLeast"/>
          <w:jc w:val="center"/>
        </w:trPr>
        <w:tc>
          <w:tcPr>
            <w:tcW w:w="9789" w:type="dxa"/>
            <w:gridSpan w:val="14"/>
            <w:vMerge w:val="continue"/>
            <w:noWrap w:val="0"/>
            <w:vAlign w:val="center"/>
          </w:tcPr>
          <w:p>
            <w:pPr>
              <w:widowControl/>
              <w:jc w:val="left"/>
              <w:rPr>
                <w:rFonts w:ascii="宋体"/>
                <w:b/>
                <w:bCs/>
                <w:kern w:val="0"/>
                <w:sz w:val="28"/>
                <w:szCs w:val="28"/>
              </w:rPr>
            </w:pPr>
          </w:p>
        </w:tc>
      </w:tr>
      <w:tr>
        <w:tblPrEx>
          <w:tblCellMar>
            <w:top w:w="0" w:type="dxa"/>
            <w:left w:w="108" w:type="dxa"/>
            <w:bottom w:w="0" w:type="dxa"/>
            <w:right w:w="108" w:type="dxa"/>
          </w:tblCellMar>
        </w:tblPrEx>
        <w:trPr>
          <w:gridAfter w:val="1"/>
          <w:wAfter w:w="46" w:type="dxa"/>
          <w:trHeight w:val="375" w:hRule="atLeast"/>
          <w:jc w:val="center"/>
        </w:trPr>
        <w:tc>
          <w:tcPr>
            <w:tcW w:w="1080" w:type="dxa"/>
            <w:gridSpan w:val="2"/>
            <w:noWrap w:val="0"/>
            <w:vAlign w:val="center"/>
          </w:tcPr>
          <w:p>
            <w:pPr>
              <w:widowControl/>
              <w:jc w:val="left"/>
              <w:rPr>
                <w:rFonts w:ascii="宋体"/>
                <w:b/>
                <w:bCs/>
                <w:kern w:val="0"/>
                <w:sz w:val="28"/>
                <w:szCs w:val="28"/>
              </w:rPr>
            </w:pPr>
          </w:p>
        </w:tc>
        <w:tc>
          <w:tcPr>
            <w:tcW w:w="1079" w:type="dxa"/>
            <w:noWrap w:val="0"/>
            <w:vAlign w:val="center"/>
          </w:tcPr>
          <w:p>
            <w:pPr>
              <w:widowControl/>
              <w:jc w:val="left"/>
              <w:rPr>
                <w:rFonts w:eastAsia="Times New Roman"/>
                <w:kern w:val="0"/>
                <w:sz w:val="20"/>
                <w:szCs w:val="20"/>
              </w:rPr>
            </w:pPr>
          </w:p>
        </w:tc>
        <w:tc>
          <w:tcPr>
            <w:tcW w:w="960" w:type="dxa"/>
            <w:noWrap w:val="0"/>
            <w:vAlign w:val="center"/>
          </w:tcPr>
          <w:p>
            <w:pPr>
              <w:widowControl/>
              <w:jc w:val="left"/>
              <w:rPr>
                <w:rFonts w:eastAsia="Times New Roman"/>
                <w:kern w:val="0"/>
                <w:sz w:val="20"/>
                <w:szCs w:val="20"/>
              </w:rPr>
            </w:pPr>
          </w:p>
        </w:tc>
        <w:tc>
          <w:tcPr>
            <w:tcW w:w="1080" w:type="dxa"/>
            <w:gridSpan w:val="2"/>
            <w:noWrap w:val="0"/>
            <w:vAlign w:val="center"/>
          </w:tcPr>
          <w:p>
            <w:pPr>
              <w:widowControl/>
              <w:jc w:val="left"/>
              <w:rPr>
                <w:rFonts w:eastAsia="Times New Roman"/>
                <w:kern w:val="0"/>
                <w:sz w:val="20"/>
                <w:szCs w:val="20"/>
              </w:rPr>
            </w:pPr>
          </w:p>
        </w:tc>
        <w:tc>
          <w:tcPr>
            <w:tcW w:w="1080" w:type="dxa"/>
            <w:gridSpan w:val="2"/>
            <w:noWrap w:val="0"/>
            <w:vAlign w:val="center"/>
          </w:tcPr>
          <w:p>
            <w:pPr>
              <w:widowControl/>
              <w:jc w:val="left"/>
              <w:rPr>
                <w:rFonts w:eastAsia="Times New Roman"/>
                <w:kern w:val="0"/>
                <w:sz w:val="20"/>
                <w:szCs w:val="20"/>
              </w:rPr>
            </w:pPr>
          </w:p>
        </w:tc>
        <w:tc>
          <w:tcPr>
            <w:tcW w:w="236" w:type="dxa"/>
            <w:noWrap w:val="0"/>
            <w:vAlign w:val="center"/>
          </w:tcPr>
          <w:p>
            <w:pPr>
              <w:widowControl/>
              <w:jc w:val="left"/>
              <w:rPr>
                <w:rFonts w:eastAsia="Times New Roman"/>
                <w:kern w:val="0"/>
                <w:sz w:val="20"/>
                <w:szCs w:val="20"/>
              </w:rPr>
            </w:pPr>
          </w:p>
        </w:tc>
        <w:tc>
          <w:tcPr>
            <w:tcW w:w="2162" w:type="dxa"/>
            <w:noWrap w:val="0"/>
            <w:vAlign w:val="center"/>
          </w:tcPr>
          <w:p>
            <w:pPr>
              <w:widowControl/>
              <w:jc w:val="left"/>
              <w:rPr>
                <w:rFonts w:eastAsia="Times New Roman"/>
                <w:kern w:val="0"/>
                <w:sz w:val="20"/>
                <w:szCs w:val="20"/>
              </w:rPr>
            </w:pPr>
          </w:p>
        </w:tc>
        <w:tc>
          <w:tcPr>
            <w:tcW w:w="1082" w:type="dxa"/>
            <w:noWrap w:val="0"/>
            <w:vAlign w:val="center"/>
          </w:tcPr>
          <w:p>
            <w:pPr>
              <w:widowControl/>
              <w:jc w:val="left"/>
              <w:rPr>
                <w:rFonts w:eastAsia="Times New Roman"/>
                <w:kern w:val="0"/>
                <w:sz w:val="20"/>
                <w:szCs w:val="20"/>
              </w:rPr>
            </w:pPr>
          </w:p>
        </w:tc>
        <w:tc>
          <w:tcPr>
            <w:tcW w:w="984" w:type="dxa"/>
            <w:gridSpan w:val="2"/>
            <w:noWrap w:val="0"/>
            <w:vAlign w:val="center"/>
          </w:tcPr>
          <w:p>
            <w:pPr>
              <w:widowControl/>
              <w:jc w:val="left"/>
              <w:rPr>
                <w:rFonts w:eastAsia="Times New Roman"/>
                <w:kern w:val="0"/>
                <w:sz w:val="20"/>
                <w:szCs w:val="20"/>
              </w:rPr>
            </w:pPr>
          </w:p>
        </w:tc>
      </w:tr>
      <w:tr>
        <w:tblPrEx>
          <w:tblCellMar>
            <w:top w:w="0" w:type="dxa"/>
            <w:left w:w="108" w:type="dxa"/>
            <w:bottom w:w="0" w:type="dxa"/>
            <w:right w:w="108" w:type="dxa"/>
          </w:tblCellMar>
        </w:tblPrEx>
        <w:trPr>
          <w:trHeight w:val="285" w:hRule="atLeast"/>
          <w:jc w:val="center"/>
        </w:trPr>
        <w:tc>
          <w:tcPr>
            <w:tcW w:w="9789" w:type="dxa"/>
            <w:gridSpan w:val="14"/>
            <w:noWrap w:val="0"/>
            <w:vAlign w:val="top"/>
          </w:tcPr>
          <w:p>
            <w:pPr>
              <w:widowControl/>
              <w:ind w:right="781" w:rightChars="372"/>
              <w:rPr>
                <w:rFonts w:ascii="宋体"/>
                <w:kern w:val="0"/>
                <w:sz w:val="24"/>
                <w:szCs w:val="24"/>
              </w:rPr>
            </w:pPr>
            <w:r>
              <w:rPr>
                <w:rFonts w:hint="eastAsia" w:ascii="宋体" w:hAnsi="宋体" w:cs="宋体"/>
                <w:kern w:val="0"/>
                <w:sz w:val="24"/>
                <w:szCs w:val="24"/>
              </w:rPr>
              <w:t xml:space="preserve">                                        纳税人（签章）</w:t>
            </w:r>
            <w:r>
              <w:rPr>
                <w:rFonts w:ascii="宋体" w:hAnsi="宋体" w:cs="宋体"/>
                <w:kern w:val="0"/>
                <w:sz w:val="24"/>
                <w:szCs w:val="24"/>
              </w:rPr>
              <w:t xml:space="preserve">:                  </w:t>
            </w:r>
          </w:p>
        </w:tc>
      </w:tr>
      <w:tr>
        <w:tblPrEx>
          <w:tblCellMar>
            <w:top w:w="0" w:type="dxa"/>
            <w:left w:w="108" w:type="dxa"/>
            <w:bottom w:w="0" w:type="dxa"/>
            <w:right w:w="108" w:type="dxa"/>
          </w:tblCellMar>
        </w:tblPrEx>
        <w:trPr>
          <w:trHeight w:val="285" w:hRule="atLeast"/>
          <w:jc w:val="center"/>
        </w:trPr>
        <w:tc>
          <w:tcPr>
            <w:tcW w:w="9789" w:type="dxa"/>
            <w:gridSpan w:val="14"/>
            <w:noWrap w:val="0"/>
            <w:vAlign w:val="top"/>
          </w:tcPr>
          <w:p>
            <w:pPr>
              <w:widowControl/>
              <w:ind w:right="960"/>
              <w:jc w:val="right"/>
              <w:rPr>
                <w:rFonts w:ascii="宋体"/>
                <w:kern w:val="0"/>
                <w:sz w:val="24"/>
                <w:szCs w:val="24"/>
              </w:rPr>
            </w:pPr>
            <w:r>
              <w:rPr>
                <w:rFonts w:hint="eastAsia" w:ascii="宋体" w:hAnsi="宋体" w:cs="宋体"/>
                <w:kern w:val="0"/>
                <w:sz w:val="24"/>
                <w:szCs w:val="24"/>
              </w:rPr>
              <w:t xml:space="preserve">     年    月    日</w:t>
            </w:r>
          </w:p>
        </w:tc>
      </w:tr>
      <w:tr>
        <w:tblPrEx>
          <w:tblCellMar>
            <w:top w:w="0" w:type="dxa"/>
            <w:left w:w="108" w:type="dxa"/>
            <w:bottom w:w="0" w:type="dxa"/>
            <w:right w:w="108" w:type="dxa"/>
          </w:tblCellMar>
        </w:tblPrEx>
        <w:trPr>
          <w:trHeight w:val="285" w:hRule="atLeast"/>
          <w:jc w:val="center"/>
        </w:trPr>
        <w:tc>
          <w:tcPr>
            <w:tcW w:w="9789" w:type="dxa"/>
            <w:gridSpan w:val="14"/>
            <w:noWrap w:val="0"/>
            <w:vAlign w:val="top"/>
          </w:tcPr>
          <w:p>
            <w:pPr>
              <w:widowControl/>
              <w:jc w:val="right"/>
              <w:rPr>
                <w:rFonts w:ascii="宋体"/>
                <w:kern w:val="0"/>
                <w:sz w:val="24"/>
                <w:szCs w:val="24"/>
              </w:rPr>
            </w:pPr>
          </w:p>
        </w:tc>
      </w:tr>
      <w:tr>
        <w:tblPrEx>
          <w:tblCellMar>
            <w:top w:w="0" w:type="dxa"/>
            <w:left w:w="108" w:type="dxa"/>
            <w:bottom w:w="0" w:type="dxa"/>
            <w:right w:w="108" w:type="dxa"/>
          </w:tblCellMar>
        </w:tblPrEx>
        <w:trPr>
          <w:trHeight w:val="285" w:hRule="atLeast"/>
          <w:jc w:val="center"/>
        </w:trPr>
        <w:tc>
          <w:tcPr>
            <w:tcW w:w="9789" w:type="dxa"/>
            <w:gridSpan w:val="14"/>
            <w:noWrap w:val="0"/>
            <w:vAlign w:val="top"/>
          </w:tcPr>
          <w:p>
            <w:pPr>
              <w:widowControl/>
              <w:jc w:val="right"/>
              <w:rPr>
                <w:rFonts w:ascii="宋体"/>
                <w:kern w:val="0"/>
                <w:sz w:val="24"/>
                <w:szCs w:val="24"/>
              </w:rPr>
            </w:pPr>
          </w:p>
        </w:tc>
      </w:tr>
      <w:tr>
        <w:tblPrEx>
          <w:tblCellMar>
            <w:top w:w="0" w:type="dxa"/>
            <w:left w:w="108" w:type="dxa"/>
            <w:bottom w:w="0" w:type="dxa"/>
            <w:right w:w="108" w:type="dxa"/>
          </w:tblCellMar>
        </w:tblPrEx>
        <w:trPr>
          <w:gridAfter w:val="1"/>
          <w:wAfter w:w="46" w:type="dxa"/>
          <w:trHeight w:val="2870" w:hRule="atLeast"/>
          <w:jc w:val="center"/>
        </w:trPr>
        <w:tc>
          <w:tcPr>
            <w:tcW w:w="626" w:type="dxa"/>
            <w:tcBorders>
              <w:right w:val="single" w:color="auto" w:sz="4" w:space="0"/>
            </w:tcBorders>
            <w:noWrap w:val="0"/>
            <w:vAlign w:val="top"/>
          </w:tcPr>
          <w:p>
            <w:pPr>
              <w:ind w:left="-311" w:leftChars="-148" w:firstLine="312" w:firstLineChars="130"/>
              <w:jc w:val="left"/>
              <w:rPr>
                <w:rFonts w:ascii="宋体"/>
                <w:kern w:val="0"/>
                <w:sz w:val="24"/>
                <w:szCs w:val="24"/>
              </w:rPr>
            </w:pPr>
          </w:p>
        </w:tc>
        <w:tc>
          <w:tcPr>
            <w:tcW w:w="4245" w:type="dxa"/>
            <w:gridSpan w:val="6"/>
            <w:tcBorders>
              <w:top w:val="single" w:color="auto" w:sz="8" w:space="0"/>
              <w:left w:val="single" w:color="auto" w:sz="4" w:space="0"/>
              <w:bottom w:val="single" w:color="auto" w:sz="8" w:space="0"/>
              <w:right w:val="single" w:color="auto" w:sz="8" w:space="0"/>
            </w:tcBorders>
            <w:noWrap w:val="0"/>
            <w:vAlign w:val="top"/>
          </w:tcPr>
          <w:p>
            <w:pPr>
              <w:widowControl/>
              <w:jc w:val="left"/>
              <w:rPr>
                <w:rFonts w:hint="eastAsia" w:ascii="宋体" w:hAnsi="宋体" w:cs="宋体"/>
                <w:kern w:val="0"/>
                <w:sz w:val="24"/>
                <w:szCs w:val="24"/>
              </w:rPr>
            </w:pPr>
          </w:p>
          <w:p>
            <w:pPr>
              <w:widowControl/>
              <w:jc w:val="left"/>
              <w:rPr>
                <w:rFonts w:ascii="宋体"/>
                <w:kern w:val="0"/>
                <w:sz w:val="24"/>
                <w:szCs w:val="24"/>
              </w:rPr>
            </w:pPr>
            <w:r>
              <w:rPr>
                <w:rFonts w:hint="eastAsia" w:ascii="宋体" w:hAnsi="宋体" w:cs="宋体"/>
                <w:kern w:val="0"/>
                <w:sz w:val="24"/>
                <w:szCs w:val="24"/>
              </w:rPr>
              <w:t>经办人：</w:t>
            </w:r>
          </w:p>
          <w:p>
            <w:pPr>
              <w:widowControl/>
              <w:jc w:val="left"/>
              <w:rPr>
                <w:rFonts w:hint="eastAsia" w:ascii="宋体" w:hAnsi="宋体" w:cs="宋体"/>
                <w:kern w:val="0"/>
                <w:sz w:val="24"/>
                <w:szCs w:val="24"/>
              </w:rPr>
            </w:pPr>
          </w:p>
          <w:p>
            <w:pPr>
              <w:widowControl/>
              <w:jc w:val="left"/>
              <w:rPr>
                <w:rFonts w:hint="eastAsia" w:ascii="宋体" w:hAnsi="宋体" w:cs="宋体"/>
                <w:kern w:val="0"/>
                <w:sz w:val="24"/>
                <w:szCs w:val="24"/>
              </w:rPr>
            </w:pPr>
          </w:p>
          <w:p>
            <w:pPr>
              <w:widowControl/>
              <w:jc w:val="left"/>
              <w:rPr>
                <w:rFonts w:ascii="宋体"/>
                <w:kern w:val="0"/>
                <w:sz w:val="24"/>
                <w:szCs w:val="24"/>
              </w:rPr>
            </w:pPr>
            <w:r>
              <w:rPr>
                <w:rFonts w:hint="eastAsia" w:ascii="宋体" w:hAnsi="宋体" w:cs="宋体"/>
                <w:kern w:val="0"/>
                <w:sz w:val="24"/>
                <w:szCs w:val="24"/>
              </w:rPr>
              <w:t>经办人身份证号：</w:t>
            </w:r>
          </w:p>
          <w:p>
            <w:pPr>
              <w:widowControl/>
              <w:jc w:val="left"/>
              <w:rPr>
                <w:rFonts w:ascii="宋体"/>
                <w:kern w:val="0"/>
                <w:sz w:val="24"/>
                <w:szCs w:val="24"/>
              </w:rPr>
            </w:pPr>
          </w:p>
          <w:p>
            <w:pPr>
              <w:widowControl/>
              <w:jc w:val="left"/>
              <w:rPr>
                <w:rFonts w:ascii="宋体"/>
                <w:kern w:val="0"/>
                <w:sz w:val="24"/>
                <w:szCs w:val="24"/>
              </w:rPr>
            </w:pPr>
          </w:p>
          <w:p>
            <w:pPr>
              <w:ind w:left="-311" w:leftChars="-148" w:firstLine="312" w:firstLineChars="130"/>
              <w:jc w:val="left"/>
              <w:rPr>
                <w:rFonts w:hint="eastAsia" w:ascii="宋体" w:hAnsi="宋体" w:cs="宋体"/>
                <w:kern w:val="0"/>
                <w:sz w:val="24"/>
                <w:szCs w:val="24"/>
              </w:rPr>
            </w:pPr>
            <w:r>
              <w:rPr>
                <w:rFonts w:hint="eastAsia" w:ascii="宋体" w:hAnsi="宋体" w:cs="宋体"/>
                <w:kern w:val="0"/>
                <w:sz w:val="24"/>
                <w:szCs w:val="24"/>
              </w:rPr>
              <w:t>代理机构签章：</w:t>
            </w:r>
          </w:p>
          <w:p>
            <w:pPr>
              <w:ind w:left="-311" w:leftChars="-148" w:firstLine="312" w:firstLineChars="130"/>
              <w:jc w:val="left"/>
              <w:rPr>
                <w:rFonts w:ascii="宋体"/>
                <w:kern w:val="0"/>
                <w:sz w:val="24"/>
                <w:szCs w:val="24"/>
              </w:rPr>
            </w:pPr>
          </w:p>
        </w:tc>
        <w:tc>
          <w:tcPr>
            <w:tcW w:w="4260" w:type="dxa"/>
            <w:gridSpan w:val="5"/>
            <w:tcBorders>
              <w:top w:val="single" w:color="auto" w:sz="8" w:space="0"/>
              <w:left w:val="single" w:color="auto" w:sz="8" w:space="0"/>
              <w:bottom w:val="single" w:color="auto" w:sz="8" w:space="0"/>
              <w:right w:val="single" w:color="auto" w:sz="4" w:space="0"/>
            </w:tcBorders>
            <w:noWrap w:val="0"/>
            <w:vAlign w:val="top"/>
          </w:tcPr>
          <w:p>
            <w:pPr>
              <w:widowControl/>
              <w:jc w:val="left"/>
              <w:rPr>
                <w:rFonts w:hint="eastAsia" w:ascii="宋体" w:hAnsi="宋体" w:cs="宋体"/>
                <w:kern w:val="0"/>
                <w:sz w:val="24"/>
                <w:szCs w:val="24"/>
              </w:rPr>
            </w:pPr>
          </w:p>
          <w:p>
            <w:pPr>
              <w:widowControl/>
              <w:jc w:val="left"/>
              <w:rPr>
                <w:rFonts w:ascii="宋体"/>
                <w:kern w:val="0"/>
                <w:sz w:val="24"/>
                <w:szCs w:val="24"/>
              </w:rPr>
            </w:pPr>
            <w:r>
              <w:rPr>
                <w:rFonts w:hint="eastAsia" w:ascii="宋体" w:hAnsi="宋体" w:cs="宋体"/>
                <w:kern w:val="0"/>
                <w:sz w:val="24"/>
                <w:szCs w:val="24"/>
              </w:rPr>
              <w:t>受理人：</w:t>
            </w:r>
          </w:p>
          <w:p>
            <w:pPr>
              <w:widowControl/>
              <w:jc w:val="left"/>
              <w:rPr>
                <w:rFonts w:ascii="宋体"/>
                <w:kern w:val="0"/>
                <w:sz w:val="24"/>
                <w:szCs w:val="24"/>
              </w:rPr>
            </w:pPr>
          </w:p>
          <w:p>
            <w:pPr>
              <w:widowControl/>
              <w:jc w:val="left"/>
              <w:rPr>
                <w:rFonts w:hint="eastAsia" w:ascii="宋体" w:hAnsi="宋体" w:cs="宋体"/>
                <w:kern w:val="0"/>
                <w:sz w:val="24"/>
                <w:szCs w:val="24"/>
              </w:rPr>
            </w:pPr>
          </w:p>
          <w:p>
            <w:pPr>
              <w:widowControl/>
              <w:jc w:val="left"/>
              <w:rPr>
                <w:rFonts w:ascii="宋体"/>
                <w:kern w:val="0"/>
                <w:sz w:val="24"/>
                <w:szCs w:val="24"/>
              </w:rPr>
            </w:pPr>
            <w:r>
              <w:rPr>
                <w:rFonts w:hint="eastAsia" w:ascii="宋体" w:hAnsi="宋体" w:cs="宋体"/>
                <w:kern w:val="0"/>
                <w:sz w:val="24"/>
                <w:szCs w:val="24"/>
              </w:rPr>
              <w:t>受理税务机关（章）：</w:t>
            </w:r>
          </w:p>
          <w:p>
            <w:pPr>
              <w:widowControl/>
              <w:jc w:val="left"/>
              <w:rPr>
                <w:rFonts w:hint="eastAsia" w:ascii="宋体" w:hAnsi="宋体" w:cs="宋体"/>
                <w:kern w:val="0"/>
                <w:sz w:val="24"/>
                <w:szCs w:val="24"/>
              </w:rPr>
            </w:pPr>
          </w:p>
          <w:p>
            <w:pPr>
              <w:widowControl/>
              <w:jc w:val="left"/>
              <w:rPr>
                <w:rFonts w:ascii="宋体"/>
                <w:kern w:val="0"/>
                <w:sz w:val="24"/>
                <w:szCs w:val="24"/>
              </w:rPr>
            </w:pPr>
          </w:p>
          <w:p>
            <w:pPr>
              <w:jc w:val="left"/>
              <w:rPr>
                <w:rFonts w:hint="eastAsia" w:ascii="宋体" w:hAnsi="宋体" w:cs="宋体"/>
                <w:kern w:val="0"/>
                <w:sz w:val="24"/>
                <w:szCs w:val="24"/>
              </w:rPr>
            </w:pPr>
            <w:r>
              <w:rPr>
                <w:rFonts w:hint="eastAsia" w:ascii="宋体" w:hAnsi="宋体" w:cs="宋体"/>
                <w:kern w:val="0"/>
                <w:sz w:val="24"/>
                <w:szCs w:val="24"/>
              </w:rPr>
              <w:t>受理日期：   年  月  日</w:t>
            </w:r>
          </w:p>
          <w:p>
            <w:pPr>
              <w:jc w:val="left"/>
              <w:rPr>
                <w:rFonts w:ascii="宋体"/>
                <w:kern w:val="0"/>
                <w:sz w:val="24"/>
                <w:szCs w:val="24"/>
              </w:rPr>
            </w:pPr>
          </w:p>
        </w:tc>
        <w:tc>
          <w:tcPr>
            <w:tcW w:w="612" w:type="dxa"/>
            <w:tcBorders>
              <w:left w:val="single" w:color="auto" w:sz="4" w:space="0"/>
            </w:tcBorders>
            <w:noWrap w:val="0"/>
            <w:vAlign w:val="top"/>
          </w:tcPr>
          <w:p>
            <w:pPr>
              <w:jc w:val="left"/>
              <w:rPr>
                <w:rFonts w:ascii="宋体"/>
                <w:kern w:val="0"/>
                <w:sz w:val="24"/>
                <w:szCs w:val="24"/>
              </w:rPr>
            </w:pPr>
          </w:p>
        </w:tc>
      </w:tr>
      <w:tr>
        <w:tblPrEx>
          <w:tblCellMar>
            <w:top w:w="0" w:type="dxa"/>
            <w:left w:w="108" w:type="dxa"/>
            <w:bottom w:w="0" w:type="dxa"/>
            <w:right w:w="108" w:type="dxa"/>
          </w:tblCellMar>
        </w:tblPrEx>
        <w:trPr>
          <w:trHeight w:val="679" w:hRule="atLeast"/>
          <w:jc w:val="center"/>
        </w:trPr>
        <w:tc>
          <w:tcPr>
            <w:tcW w:w="9789" w:type="dxa"/>
            <w:gridSpan w:val="14"/>
            <w:noWrap w:val="0"/>
            <w:vAlign w:val="bottom"/>
          </w:tcPr>
          <w:p>
            <w:pPr>
              <w:widowControl/>
              <w:ind w:right="357" w:rightChars="170"/>
              <w:jc w:val="right"/>
              <w:rPr>
                <w:rFonts w:ascii="宋体"/>
                <w:b/>
                <w:bCs/>
                <w:kern w:val="0"/>
                <w:sz w:val="28"/>
                <w:szCs w:val="28"/>
              </w:rPr>
            </w:pPr>
            <w:r>
              <w:rPr>
                <w:rFonts w:hint="eastAsia" w:ascii="宋体" w:hAnsi="宋体" w:cs="宋体"/>
                <w:b/>
                <w:bCs/>
                <w:kern w:val="0"/>
                <w:sz w:val="28"/>
                <w:szCs w:val="28"/>
              </w:rPr>
              <w:t>国家税务总局监制</w:t>
            </w:r>
          </w:p>
        </w:tc>
      </w:tr>
    </w:tbl>
    <w:p/>
    <w:p>
      <w:pPr>
        <w:pStyle w:val="4"/>
        <w:bidi w:val="0"/>
        <w:rPr>
          <w:rFonts w:hint="eastAsia"/>
        </w:rPr>
      </w:pPr>
      <w:r>
        <w:rPr>
          <w:rFonts w:hint="eastAsia"/>
        </w:rPr>
        <w:t>《中华人民共和国企业所得税年度纳税申报表（A类，2017年版）》封面填报说明</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《中华人民共和国企业所得税年度纳税申报表（A类，2017年版）》（以下简称</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申报表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）适用于实行查账征收企业所得税的居民企业纳税人（以下简称</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纳税人</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）填报。有关项目填报说明如下：</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税款所属期间</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正常经营的纳税人，填报公历当年1月1日至12月31日；纳税人年度中间开业的，填报实际生产经营之日至当年12月31日；纳税人年度中间发生合并、分立、破产、停业等情况的，填报公历当年1月1日至实际停业或法院裁定并宣告破产之日；纳税人年度中间开业且年度中间又发生合并、分立、破产、停业等情况的，填报实际生产经营之日至实际停业或法院裁定并宣告破产之日。</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纳税人识别号（统一社会信用代码）</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：填报有关部门核发的统一社会信用代码。未取得统一社会信用代码的，填报税务机关核发的纳税人识别号。</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纳税人名称</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：填报营业执照、税务登记证等证件载明的纳税人名称。</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微软雅黑" w:hAnsi="微软雅黑" w:eastAsia="微软雅黑" w:cs="微软雅黑"/>
          <w:sz w:val="28"/>
          <w:szCs w:val="28"/>
        </w:rPr>
      </w:pPr>
      <w:r>
        <w:rPr>
          <w:rFonts w:hint="eastAsia" w:ascii="微软雅黑" w:hAnsi="微软雅黑" w:eastAsia="微软雅黑" w:cs="微软雅黑"/>
          <w:sz w:val="28"/>
          <w:szCs w:val="28"/>
        </w:rPr>
        <w:t>4</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填报日期</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：填报纳税人申报当日日期。</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eastAsia="宋体"/>
          <w:sz w:val="28"/>
          <w:szCs w:val="28"/>
          <w:lang w:eastAsia="zh-CN"/>
        </w:rPr>
      </w:pPr>
      <w:r>
        <w:rPr>
          <w:rFonts w:hint="eastAsia" w:ascii="微软雅黑" w:hAnsi="微软雅黑" w:eastAsia="微软雅黑" w:cs="微软雅黑"/>
          <w:sz w:val="28"/>
          <w:szCs w:val="28"/>
        </w:rPr>
        <w:t>5</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纳税人聘请机构代理申报的，加盖代理机构公章</w:t>
      </w:r>
      <w:r>
        <w:rPr>
          <w:rFonts w:hint="eastAsia" w:ascii="微软雅黑" w:hAnsi="微软雅黑" w:eastAsia="微软雅黑" w:cs="微软雅黑"/>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eastAsia="宋体"/>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eastAsia="宋体"/>
          <w:sz w:val="28"/>
          <w:szCs w:val="28"/>
          <w:lang w:eastAsia="zh-CN"/>
        </w:rPr>
      </w:pPr>
    </w:p>
    <w:p>
      <w:pPr>
        <w:pStyle w:val="3"/>
        <w:bidi w:val="0"/>
        <w:rPr>
          <w:rFonts w:hint="eastAsia"/>
        </w:rPr>
      </w:pPr>
      <w:r>
        <w:rPr>
          <w:rFonts w:hint="eastAsia"/>
        </w:rPr>
        <w:t>企业所得税年度纳税申报表填报表单</w:t>
      </w:r>
    </w:p>
    <w:tbl>
      <w:tblPr>
        <w:tblStyle w:val="8"/>
        <w:tblW w:w="9663"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49"/>
        <w:gridCol w:w="6934"/>
        <w:gridCol w:w="168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0" w:hRule="atLeast"/>
          <w:jc w:val="center"/>
        </w:trPr>
        <w:tc>
          <w:tcPr>
            <w:tcW w:w="1049" w:type="dxa"/>
            <w:tcBorders>
              <w:bottom w:val="single" w:color="000000" w:sz="6" w:space="0"/>
              <w:right w:val="single" w:color="000000" w:sz="6" w:space="0"/>
            </w:tcBorders>
            <w:noWrap w:val="0"/>
            <w:vAlign w:val="top"/>
          </w:tcPr>
          <w:p>
            <w:pPr>
              <w:pStyle w:val="11"/>
              <w:spacing w:before="173"/>
              <w:ind w:left="122"/>
              <w:rPr>
                <w:b/>
                <w:sz w:val="20"/>
              </w:rPr>
            </w:pPr>
            <w:r>
              <w:rPr>
                <w:b/>
                <w:sz w:val="20"/>
              </w:rPr>
              <w:t>表单编号</w:t>
            </w:r>
          </w:p>
        </w:tc>
        <w:tc>
          <w:tcPr>
            <w:tcW w:w="6934" w:type="dxa"/>
            <w:tcBorders>
              <w:left w:val="single" w:color="000000" w:sz="6" w:space="0"/>
              <w:bottom w:val="single" w:color="000000" w:sz="6" w:space="0"/>
              <w:right w:val="single" w:color="000000" w:sz="6" w:space="0"/>
            </w:tcBorders>
            <w:noWrap w:val="0"/>
            <w:vAlign w:val="top"/>
          </w:tcPr>
          <w:p>
            <w:pPr>
              <w:pStyle w:val="11"/>
              <w:spacing w:before="173"/>
              <w:ind w:left="3052" w:right="3022"/>
              <w:jc w:val="center"/>
              <w:rPr>
                <w:b/>
                <w:sz w:val="20"/>
              </w:rPr>
            </w:pPr>
            <w:r>
              <w:rPr>
                <w:b/>
                <w:sz w:val="20"/>
              </w:rPr>
              <w:t>表单名称</w:t>
            </w:r>
          </w:p>
        </w:tc>
        <w:tc>
          <w:tcPr>
            <w:tcW w:w="1680" w:type="dxa"/>
            <w:tcBorders>
              <w:left w:val="single" w:color="000000" w:sz="6" w:space="0"/>
              <w:bottom w:val="single" w:color="000000" w:sz="6" w:space="0"/>
            </w:tcBorders>
            <w:noWrap w:val="0"/>
            <w:vAlign w:val="top"/>
          </w:tcPr>
          <w:p>
            <w:pPr>
              <w:pStyle w:val="11"/>
              <w:spacing w:before="173"/>
              <w:ind w:left="424" w:right="389"/>
              <w:jc w:val="center"/>
              <w:rPr>
                <w:b/>
                <w:sz w:val="20"/>
              </w:rPr>
            </w:pPr>
            <w:r>
              <w:rPr>
                <w:b/>
                <w:sz w:val="20"/>
              </w:rPr>
              <w:t>是否填报</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A000000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115"/>
              <w:rPr>
                <w:sz w:val="20"/>
              </w:rPr>
            </w:pPr>
            <w:r>
              <w:rPr>
                <w:sz w:val="20"/>
              </w:rPr>
              <w:t>企业所得税年度纳税申报基础信息表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A100000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115"/>
              <w:rPr>
                <w:sz w:val="20"/>
              </w:rPr>
            </w:pPr>
            <w:r>
              <w:rPr>
                <w:sz w:val="20"/>
              </w:rPr>
              <w:t>中华人民共和国企业所得税年度纳税申报表（A 类）</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A101010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一般企业收入明细表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A101020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金融企业收入明细表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A102010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一般企业成本支出明细表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A102020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金融企业支出明细表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A103000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事业单位、民间非营利组织收入、支出明细表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A104000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期间费用明细表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纳税调整项目明细表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视同销售和房地产开发企业特定业务纳税调整明细表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A105020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未按权责发生制确认收入纳税调整明细表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A105030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投资收益纳税调整明细表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A105040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专项用途财政性资金纳税调整明细表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A105050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职工薪酬支出及纳税调整明细表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A105060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广告费和业务宣传费等跨年度纳税调整明细表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A105070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捐赠支出及纳税调整明细表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A105080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资产折旧、摊销及纳税调整明细表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A105090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资产损失税前扣除及纳税调整明细表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A105100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企业重组及递延纳税事项纳税调整明细表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A105110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政策性搬迁纳税调整明细表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A105120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贷款损失准备金及纳税调整明细表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A106000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企业所得税弥补亏损明细表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免税、减计收入及加计扣除优惠明细表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A107011</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符合条件的居民企业之间的股息、红利等权益性投资收益优惠明细表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A107012</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研发费用加计扣除优惠明细表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A107020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所得减免优惠明细表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A107030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抵扣应纳税所得额明细表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A107040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减免所得税优惠明细表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A107041</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高新技术企业优惠情况及明细表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A107042</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软件、集成电路企业优惠情况及明细表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A107050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税额抵免优惠明细表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A108000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境外所得税收抵免明细表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A108010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境外所得纳税调整后所得明细表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A108020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境外分支机构弥补亏损明细表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A108030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跨年度结转抵免境外所得税明细表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A109000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515"/>
              <w:rPr>
                <w:sz w:val="20"/>
              </w:rPr>
            </w:pPr>
            <w:r>
              <w:rPr>
                <w:sz w:val="20"/>
              </w:rPr>
              <w:t>跨地区经营汇总纳税企业年度分摊企业所得税明细表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1049" w:type="dxa"/>
            <w:tcBorders>
              <w:top w:val="single" w:color="000000" w:sz="6" w:space="0"/>
              <w:bottom w:val="single" w:color="000000" w:sz="6" w:space="0"/>
              <w:right w:val="single" w:color="000000" w:sz="6" w:space="0"/>
            </w:tcBorders>
            <w:noWrap w:val="0"/>
            <w:vAlign w:val="top"/>
          </w:tcPr>
          <w:p>
            <w:pPr>
              <w:pStyle w:val="11"/>
              <w:spacing w:before="14" w:line="251" w:lineRule="exact"/>
              <w:ind w:left="172"/>
              <w:rPr>
                <w:sz w:val="20"/>
              </w:rPr>
            </w:pPr>
            <w:r>
              <w:rPr>
                <w:sz w:val="20"/>
              </w:rPr>
              <w:t>A109010</w:t>
            </w:r>
          </w:p>
        </w:tc>
        <w:tc>
          <w:tcPr>
            <w:tcW w:w="69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4" w:line="251" w:lineRule="exact"/>
              <w:ind w:left="914"/>
              <w:rPr>
                <w:sz w:val="20"/>
              </w:rPr>
            </w:pPr>
            <w:r>
              <w:rPr>
                <w:sz w:val="20"/>
              </w:rPr>
              <w:t>企业所得税汇总纳税分支机构所得税分配表</w:t>
            </w:r>
          </w:p>
        </w:tc>
        <w:tc>
          <w:tcPr>
            <w:tcW w:w="1680" w:type="dxa"/>
            <w:tcBorders>
              <w:top w:val="single" w:color="000000" w:sz="6" w:space="0"/>
              <w:left w:val="single" w:color="000000" w:sz="6" w:space="0"/>
              <w:bottom w:val="single" w:color="000000" w:sz="6" w:space="0"/>
            </w:tcBorders>
            <w:noWrap w:val="0"/>
            <w:vAlign w:val="top"/>
          </w:tcPr>
          <w:p>
            <w:pPr>
              <w:pStyle w:val="11"/>
              <w:spacing w:before="14" w:line="251" w:lineRule="exact"/>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4" w:hRule="atLeast"/>
          <w:jc w:val="center"/>
        </w:trPr>
        <w:tc>
          <w:tcPr>
            <w:tcW w:w="9663" w:type="dxa"/>
            <w:gridSpan w:val="3"/>
            <w:tcBorders>
              <w:top w:val="single" w:color="000000" w:sz="6" w:space="0"/>
            </w:tcBorders>
            <w:noWrap w:val="0"/>
            <w:vAlign w:val="top"/>
          </w:tcPr>
          <w:p>
            <w:pPr>
              <w:pStyle w:val="11"/>
              <w:spacing w:before="14" w:line="251" w:lineRule="exact"/>
              <w:ind w:left="107"/>
              <w:rPr>
                <w:sz w:val="20"/>
              </w:rPr>
            </w:pPr>
            <w:r>
              <w:rPr>
                <w:sz w:val="20"/>
              </w:rPr>
              <w:t>说明：企业应当根据实际情况选择需要填报的表单。</w:t>
            </w:r>
          </w:p>
        </w:tc>
      </w:tr>
    </w:tbl>
    <w:p>
      <w:pPr>
        <w:keepNext w:val="0"/>
        <w:keepLines w:val="0"/>
        <w:pageBreakBefore w:val="0"/>
        <w:widowControl w:val="0"/>
        <w:kinsoku/>
        <w:wordWrap/>
        <w:overflowPunct/>
        <w:topLinePunct w:val="0"/>
        <w:autoSpaceDE/>
        <w:autoSpaceDN/>
        <w:bidi w:val="0"/>
        <w:adjustRightInd/>
        <w:snapToGrid/>
        <w:spacing w:line="360" w:lineRule="auto"/>
        <w:ind w:firstLine="600" w:firstLineChars="200"/>
        <w:jc w:val="both"/>
        <w:textAlignment w:val="auto"/>
        <w:rPr>
          <w:rFonts w:hint="eastAsia" w:ascii="微软雅黑" w:hAnsi="微软雅黑" w:eastAsia="微软雅黑" w:cs="微软雅黑"/>
          <w:b/>
          <w:bCs/>
          <w:sz w:val="30"/>
          <w:szCs w:val="30"/>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jc w:val="both"/>
        <w:textAlignment w:val="auto"/>
        <w:rPr>
          <w:rFonts w:hint="eastAsia" w:ascii="微软雅黑" w:hAnsi="微软雅黑" w:eastAsia="微软雅黑" w:cs="微软雅黑"/>
          <w:b/>
          <w:bCs/>
          <w:sz w:val="30"/>
          <w:szCs w:val="30"/>
          <w:lang w:eastAsia="zh-CN"/>
        </w:rPr>
      </w:pPr>
    </w:p>
    <w:p>
      <w:pPr>
        <w:pStyle w:val="4"/>
        <w:bidi w:val="0"/>
        <w:rPr>
          <w:rFonts w:hint="eastAsia"/>
          <w:lang w:eastAsia="zh-CN"/>
        </w:rPr>
      </w:pPr>
      <w:r>
        <w:rPr>
          <w:rFonts w:hint="eastAsia"/>
          <w:lang w:eastAsia="zh-CN"/>
        </w:rPr>
        <w:t>《企业所得税年度纳税申报表填报表单》填报说明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本表列示申报表全部表单名称及编号。纳税人在填报申报表之前，请仔细阅读这些表单的填报信息，并根据企业的涉税业务，选择”是否填报”。选择”填报”的， 在”□”内打”√”，并完成该表单内容的填报。未选择”填报”的表单，无需向税务机关报送。各表单有关情况如下：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1、《企业所得税年度纳税申报基础信息表》（A000000）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本表为必填表，填报内容包括基本经营情况、有关涉税事项情况、主要股东及分红情况三部分。纳税人填报申报表时，首先填报此表，为后续申报提供指引。</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 xml:space="preserve">《中华人民共和国企业所得税年度纳税申报表（A 类）》（A100000）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本表为必填表，是纳税人计算申报缴纳企业所得税的主表。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3、《一般企业收入明细表》（A101010）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本表适用于除金融企业、事业单位和民间非营利组织外的纳税人填报，反映一般企业按照国家统一会计制度规定取得收入情况。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4、《金融企业收入明细表》（A101020）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本表仅适用于金融企业（包括银行、信用社、保险公司、证券公司等金融企业） 填报，反映金融企业按照企业会计准则规定取得收入情况。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5、《一般企业成本支出明细表》（A102010）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本表适用于除金融企业、事业单位和民间非营利组织外的纳税人填报，反映一般企业按照国家统一会计制度规定发生成本支出情况。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6、《金融企业支出明细表》（A102020）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本表仅适用于金融企业（包括银行、信用社、保险公司、证券公司等金融企业） 填报，反映金融企业按照企业会计准则规定发生支出情况。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7、《事业单位、民间非营利组织收入、支出明细表》（A103000）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本表适用于事业单位和民间非营利组织填报，反映事业单位、社会团体、民办非企业单位、非营利组织等按照有关会计制度规定取得收入，发生支出、费用情况。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8、《期间费用明细表》（A104000）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本表适用于除事业单位和民间非营利组织外的纳税人填报，反映纳税人根据国家统一会计制度发生的期间费用明细情况。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9、《纳税调整项目明细表》（A105000）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本表反映纳税人财务、会计处理办法（以下简称</w:t>
      </w:r>
      <w:r>
        <w:rPr>
          <w:rFonts w:hint="eastAsia" w:ascii="微软雅黑" w:hAnsi="微软雅黑" w:eastAsia="微软雅黑" w:cs="微软雅黑"/>
          <w:sz w:val="21"/>
          <w:szCs w:val="21"/>
          <w:lang w:eastAsia="zh-CN"/>
        </w:rPr>
        <w:t>“</w:t>
      </w:r>
      <w:r>
        <w:rPr>
          <w:rFonts w:hint="eastAsia" w:ascii="微软雅黑" w:hAnsi="微软雅黑" w:eastAsia="微软雅黑" w:cs="微软雅黑"/>
          <w:b w:val="0"/>
          <w:bCs w:val="0"/>
          <w:sz w:val="21"/>
          <w:szCs w:val="21"/>
          <w:lang w:eastAsia="zh-CN"/>
        </w:rPr>
        <w:t>会计处理”）与税收法律、行政法规的规定（以下简称</w:t>
      </w:r>
      <w:r>
        <w:rPr>
          <w:rFonts w:hint="eastAsia" w:ascii="微软雅黑" w:hAnsi="微软雅黑" w:eastAsia="微软雅黑" w:cs="微软雅黑"/>
          <w:sz w:val="21"/>
          <w:szCs w:val="21"/>
          <w:lang w:eastAsia="zh-CN"/>
        </w:rPr>
        <w:t>“</w:t>
      </w:r>
      <w:r>
        <w:rPr>
          <w:rFonts w:hint="eastAsia" w:ascii="微软雅黑" w:hAnsi="微软雅黑" w:eastAsia="微软雅黑" w:cs="微软雅黑"/>
          <w:b w:val="0"/>
          <w:bCs w:val="0"/>
          <w:sz w:val="21"/>
          <w:szCs w:val="21"/>
          <w:lang w:eastAsia="zh-CN"/>
        </w:rPr>
        <w:t>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10、《视同销售和房地产开发企业特定业务纳税调整明细表》（A105010）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本表反映纳税人发生视同销售行为、房地产开发企业销售未完工产品、未完工产品转完工产品，会计处理与税收规定不一致，需要进行纳税调整的项目和金额情况。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11、《未按权责发生制确认收入纳税调整明细表》（A105020）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本表反映纳税人会计处理按照权责发生制确认收入，而税收规定不按照权责发生制确认收入，需要进行纳税调整的项目和金额情况。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12、《投资收益纳税调整明细表》（A105030）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本表反映纳税人发生投资收益，由于会计处理与税收规定不一致，需要进行纳税调整的项目和金额情况。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13、《专项用途财政性资金纳税调整明细表》（A105040）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本表反映纳税人取得符合不征税收入条件的专项用途财政性资金，由于会计处理与税收规定不一致，需要进行纳税调整的金额情况。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14、《职工薪酬支出及纳税调整明细表》（A105050）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的职工薪酬（包括工资薪金、职工福利费、职工教育经费、工会经费、各类基本社会保障性缴款、住房公积金、补充养老保险、补充医疗保险等支出）情况，以及由于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纳税人只要发生职工薪酬支出，均需填报本表。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15、《广告费和业务宣传费等跨年度纳税调整明细表》（A105060）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本表反映纳税人发生的广告费和业务宣传费支出、保险企业发生的手续费及佣金支出，由于会计处理与税收规定不一致，需要进行纳税调整的金额情况。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纳税人以前年度发生广告费和业务宣传费支出、保险企业以前年度发生手续费及佣金支出尚未扣除完毕结转至本年度扣除的，应填报以前年度累计结转情况。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16、《捐赠支出及纳税调整明细表》（A105070）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本表反映纳税人发生捐赠支出的情况，以及由于会计处理与税收规定不一致，需要进行纳税调整的项目和金额情况。纳税人发生以前年度捐赠支出未扣除完毕的，应填报以前年度累计结转情况。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17、《资产折旧、摊销及纳税调整明细表》（A105080）</w:t>
      </w:r>
    </w:p>
    <w:p>
      <w:pPr>
        <w:keepNext w:val="0"/>
        <w:keepLines w:val="0"/>
        <w:pageBreakBefore w:val="0"/>
        <w:widowControl w:val="0"/>
        <w:kinsoku/>
        <w:wordWrap/>
        <w:overflowPunct/>
        <w:topLinePunct w:val="0"/>
        <w:autoSpaceDE/>
        <w:autoSpaceDN/>
        <w:bidi w:val="0"/>
        <w:adjustRightInd/>
        <w:snapToGrid/>
        <w:spacing w:line="240" w:lineRule="auto"/>
        <w:ind w:left="420" w:leftChars="200" w:firstLine="0" w:firstLineChars="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本表反映纳税人资产折旧、摊销情况，以及由于会计处理与税收规定不一致，需要进行纳税调整的项目和金额情况。纳税人只要发生资产折旧、摊销，均需填报本表。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18、《资产损失税前扣除及纳税调整明细表》（A105090）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本表反映纳税人发生的资产损失的项目及金额情况，以及由于会计处理与税收规定不一致，需要进行纳税调整的项目和金额情况。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19、《企业重组及递延纳税事项纳税调整明细表》（A105100）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本表反映纳税人发生企业重组、非货币性资产对外投资、技术入股等业务所涉及的所得或损失情况，以及由于会计处理与税收规定不一致，需要进行纳税调整的项目和金额情况。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20、《政策性搬迁纳税调整明细表》（A105110）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本表反映纳税人发生政策性搬迁所涉及的所得或损失，由于会计处理与税收规定不一致，需要进行纳税调整的项目和金额情况。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21、《贷款损失准备金及纳税调整明细表》（A105120）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本表反映金融企业、小额贷款公司纳税人发生的贷款损失准备金情况，以及由于会计处理与税收规定不一致，需要进行纳税调整的项目和金额情况。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22、《企业所得税弥补亏损明细表》（A106000）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本表反映纳税人以前年度发生的亏损需要在本年度结转弥补的金额，本年度可弥补的金额以及可继续结转以后年度弥补的亏损额情况。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23、《免税、减计收入及加计扣除优惠明细表》（A107010）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本表反映纳税人本年度所享受免税收入、减计收入、加计扣除等优惠政策的项目和金额情况。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24、《符合条件的居民企业之间的股息、红利等权益性投资收益优惠明细表》（A107011）</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本表反映纳税人本年度享受居民企业之间的股息、红利等权益性投资收益免税优惠政策的项目和金额情况。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25、《研发费用加计扣除优惠明细表》（A107012）</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本表反映纳税人享受研发费用加计扣除优惠政策情况。纳税人以前年度有销售研发活动直接形成产品（包括组成部分）对应材料部分未扣减完毕的，应填报以前年度未扣减情况。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26、《所得减免优惠明细表》（A107020）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本表反映纳税人本年度享受减免所得额优惠政策（包括农、林、牧、渔项目和国家重点扶持的公共基础设施项目、环境保护、节能节水项目、集成电路生产项目以及符合条件的技术转让项目等）项目和金额情况。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27、《抵扣应纳税所得额明细表》（A107030）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本表反映纳税人本年度享受创业投资企业抵扣应纳税所得额优惠政策的项目和金额情况。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纳税人有以前年度结转的尚未抵扣的股权投资余额的，应填报以前年度累计结转情况。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28、《减免所得税优惠明细表》（A107040）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本表反映纳税人本年度享受减免所得税优惠政策（包括小型微利企业、高新技术企业、民族自治地方企业、其他专项优惠等）的项目和金额情况。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29、《高新技术企业优惠情况及明细表》（A107041）</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本表反映高新技术企业基本情况和享受优惠政策的有关情况。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高新技术企业资格证书在有效期内的纳税人需要填报本表。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30、《软件、集成电路企业优惠情况及明细表》（A107042）</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本表反映纳税人本年度享受软件、集成电路企业优惠政策的有关情况。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31、《税额抵免优惠明细表》（A107050）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本表反映纳税人享受购买专用设备投资额抵免税额优惠政策的项目和金额情况。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纳税人有以前年度结转的尚未抵免的专用设备投资额的，应填报以前年度已抵免情况。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32、《境外所得税收抵免明细表》（A108000）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本表反映纳税人本年度来源于或发生于其他国家、地区的境外所得，按照我国税收规定计算应缴纳和应抵免的企业所得税额情况。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33、《境外所得纳税调整后所得明细表》（A108010）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本表反映纳税人本年度来源于或发生于其他国家、地区的境外所得，按照我国税收规定计算调整后的所得情况。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34、《境外分支机构弥补亏损明细表》（A108020）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本表反映纳税人境外分支机构本年度及以前年度发生的税前尚未弥补的非实际亏损额和实际亏损额、结转以后年度弥补的非实际亏损额和实际亏损额情况。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35、《跨年度结转抵免境外所得税明细表》（A108030）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本表反映纳税人本年度来源于或发生于其他国家或地区的境外所得按照我国税收规定可以抵免的所得税额情况。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36、《跨地区经营汇总纳税企业年度分摊企业所得税明细表》（A109000）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本表适用于跨地区经营汇总纳税企业的总机构填报，反映按照规定计算的总机构、分支机构本年度应缴的企业所得税情况，以及总机构、分支机构应分摊的企业所得税情况。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37、《企业所得税汇总纳税分支机构所得税分配表》（A109010）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本表适用于跨地区经营汇总纳税企业的总机构填报，反映总机构本年度实际应纳所得税额以及所属分支机构本年度应分摊的所得税额情况。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pStyle w:val="3"/>
        <w:bidi w:val="0"/>
        <w:rPr>
          <w:rFonts w:hint="eastAsia"/>
          <w:lang w:eastAsia="zh-CN"/>
        </w:rPr>
      </w:pPr>
      <w:r>
        <w:rPr>
          <w:rFonts w:hint="eastAsia"/>
          <w:lang w:eastAsia="zh-CN"/>
        </w:rPr>
        <w:t>A000000</w:t>
      </w:r>
      <w:r>
        <w:rPr>
          <w:rFonts w:hint="eastAsia"/>
          <w:lang w:eastAsia="zh-CN"/>
        </w:rPr>
        <w:tab/>
      </w:r>
      <w:r>
        <w:rPr>
          <w:rFonts w:hint="eastAsia"/>
          <w:lang w:eastAsia="zh-CN"/>
        </w:rPr>
        <w:t>企业所得税年度纳税申报基础信息表</w:t>
      </w:r>
    </w:p>
    <w:tbl>
      <w:tblPr>
        <w:tblStyle w:val="8"/>
        <w:tblW w:w="9819"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02"/>
        <w:gridCol w:w="166"/>
        <w:gridCol w:w="847"/>
        <w:gridCol w:w="929"/>
        <w:gridCol w:w="139"/>
        <w:gridCol w:w="625"/>
        <w:gridCol w:w="393"/>
        <w:gridCol w:w="680"/>
        <w:gridCol w:w="1011"/>
        <w:gridCol w:w="1058"/>
        <w:gridCol w:w="253"/>
        <w:gridCol w:w="1774"/>
        <w:gridCol w:w="1"/>
        <w:gridCol w:w="941"/>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9819" w:type="dxa"/>
            <w:gridSpan w:val="14"/>
            <w:tcBorders>
              <w:bottom w:val="single" w:color="000000" w:sz="6" w:space="0"/>
            </w:tcBorders>
            <w:noWrap w:val="0"/>
            <w:vAlign w:val="top"/>
          </w:tcPr>
          <w:p>
            <w:pPr>
              <w:pStyle w:val="11"/>
              <w:spacing w:before="89" w:line="251" w:lineRule="exact"/>
              <w:ind w:left="3147" w:right="3111"/>
              <w:jc w:val="center"/>
              <w:rPr>
                <w:b/>
                <w:sz w:val="20"/>
              </w:rPr>
            </w:pPr>
            <w:r>
              <w:rPr>
                <w:b/>
                <w:sz w:val="20"/>
              </w:rPr>
              <w:t>基本经营情况（必填项目）</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101 纳税申报企业类型（填写代码）</w:t>
            </w:r>
          </w:p>
        </w:tc>
        <w:tc>
          <w:tcPr>
            <w:tcW w:w="1073"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4097" w:type="dxa"/>
            <w:gridSpan w:val="5"/>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4"/>
              <w:rPr>
                <w:sz w:val="20"/>
              </w:rPr>
            </w:pPr>
            <w:r>
              <w:rPr>
                <w:sz w:val="20"/>
              </w:rPr>
              <w:t>102 分支机构就地纳税比例（%）</w:t>
            </w: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103 资产总额（填写平均值，单位：万元）</w:t>
            </w:r>
          </w:p>
        </w:tc>
        <w:tc>
          <w:tcPr>
            <w:tcW w:w="1073"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4097" w:type="dxa"/>
            <w:gridSpan w:val="5"/>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4"/>
              <w:rPr>
                <w:sz w:val="20"/>
              </w:rPr>
            </w:pPr>
            <w:r>
              <w:rPr>
                <w:sz w:val="20"/>
              </w:rPr>
              <w:t>104 从业人数（填写平均值，单位：人）</w:t>
            </w: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7" w:line="253" w:lineRule="exact"/>
              <w:ind w:left="107"/>
              <w:rPr>
                <w:sz w:val="20"/>
              </w:rPr>
            </w:pPr>
            <w:r>
              <w:rPr>
                <w:sz w:val="20"/>
              </w:rPr>
              <w:t>105 所属国民经济行业（填写代码）</w:t>
            </w:r>
          </w:p>
        </w:tc>
        <w:tc>
          <w:tcPr>
            <w:tcW w:w="1073"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4097" w:type="dxa"/>
            <w:gridSpan w:val="5"/>
            <w:tcBorders>
              <w:top w:val="single" w:color="000000" w:sz="6" w:space="0"/>
              <w:left w:val="single" w:color="000000" w:sz="6" w:space="0"/>
              <w:bottom w:val="single" w:color="000000" w:sz="6" w:space="0"/>
              <w:right w:val="single" w:color="000000" w:sz="6" w:space="0"/>
            </w:tcBorders>
            <w:noWrap w:val="0"/>
            <w:vAlign w:val="top"/>
          </w:tcPr>
          <w:p>
            <w:pPr>
              <w:pStyle w:val="11"/>
              <w:spacing w:before="87" w:line="253" w:lineRule="exact"/>
              <w:ind w:left="114"/>
              <w:rPr>
                <w:sz w:val="20"/>
              </w:rPr>
            </w:pPr>
            <w:r>
              <w:rPr>
                <w:sz w:val="20"/>
              </w:rPr>
              <w:t>106 从事国家限制或禁止行业</w:t>
            </w:r>
          </w:p>
        </w:tc>
        <w:tc>
          <w:tcPr>
            <w:tcW w:w="941" w:type="dxa"/>
            <w:tcBorders>
              <w:top w:val="single" w:color="000000" w:sz="6" w:space="0"/>
              <w:left w:val="single" w:color="000000" w:sz="6" w:space="0"/>
              <w:bottom w:val="single" w:color="000000" w:sz="6" w:space="0"/>
            </w:tcBorders>
            <w:noWrap w:val="0"/>
            <w:vAlign w:val="top"/>
          </w:tcPr>
          <w:p>
            <w:pPr>
              <w:pStyle w:val="11"/>
              <w:spacing w:before="87" w:line="253" w:lineRule="exact"/>
              <w:ind w:left="115"/>
              <w:rPr>
                <w:sz w:val="20"/>
              </w:rPr>
            </w:pPr>
            <w:r>
              <w:rPr>
                <w:sz w:val="20"/>
              </w:rPr>
              <w:t>□是□否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9" w:line="251" w:lineRule="exact"/>
              <w:ind w:left="107"/>
              <w:rPr>
                <w:sz w:val="20"/>
              </w:rPr>
            </w:pPr>
            <w:r>
              <w:rPr>
                <w:sz w:val="20"/>
              </w:rPr>
              <w:t>107 适用会计准则或会计制度（填写代码）</w:t>
            </w:r>
          </w:p>
        </w:tc>
        <w:tc>
          <w:tcPr>
            <w:tcW w:w="1073"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4097" w:type="dxa"/>
            <w:gridSpan w:val="5"/>
            <w:tcBorders>
              <w:top w:val="single" w:color="000000" w:sz="6" w:space="0"/>
              <w:left w:val="single" w:color="000000" w:sz="6" w:space="0"/>
              <w:bottom w:val="single" w:color="000000" w:sz="6" w:space="0"/>
              <w:right w:val="single" w:color="000000" w:sz="6" w:space="0"/>
            </w:tcBorders>
            <w:noWrap w:val="0"/>
            <w:vAlign w:val="top"/>
          </w:tcPr>
          <w:p>
            <w:pPr>
              <w:pStyle w:val="11"/>
              <w:spacing w:before="89" w:line="251" w:lineRule="exact"/>
              <w:ind w:left="114"/>
              <w:rPr>
                <w:sz w:val="20"/>
              </w:rPr>
            </w:pPr>
            <w:r>
              <w:rPr>
                <w:sz w:val="20"/>
              </w:rPr>
              <w:t>108 采用一般企业财务报表格式（2019 年版）</w:t>
            </w:r>
          </w:p>
        </w:tc>
        <w:tc>
          <w:tcPr>
            <w:tcW w:w="941" w:type="dxa"/>
            <w:tcBorders>
              <w:top w:val="single" w:color="000000" w:sz="6" w:space="0"/>
              <w:left w:val="single" w:color="000000" w:sz="6" w:space="0"/>
              <w:bottom w:val="single" w:color="000000" w:sz="6" w:space="0"/>
            </w:tcBorders>
            <w:noWrap w:val="0"/>
            <w:vAlign w:val="top"/>
          </w:tcPr>
          <w:p>
            <w:pPr>
              <w:pStyle w:val="11"/>
              <w:spacing w:before="89" w:line="251" w:lineRule="exact"/>
              <w:ind w:left="115"/>
              <w:rPr>
                <w:sz w:val="20"/>
              </w:rPr>
            </w:pPr>
            <w:r>
              <w:rPr>
                <w:sz w:val="20"/>
              </w:rPr>
              <w:t>□是□否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109 小型微利企业</w:t>
            </w:r>
          </w:p>
        </w:tc>
        <w:tc>
          <w:tcPr>
            <w:tcW w:w="1073"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3"/>
              <w:rPr>
                <w:sz w:val="20"/>
              </w:rPr>
            </w:pPr>
            <w:r>
              <w:rPr>
                <w:sz w:val="20"/>
              </w:rPr>
              <w:t>□是□否</w:t>
            </w:r>
          </w:p>
        </w:tc>
        <w:tc>
          <w:tcPr>
            <w:tcW w:w="2069"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4"/>
              <w:rPr>
                <w:sz w:val="20"/>
              </w:rPr>
            </w:pPr>
            <w:r>
              <w:rPr>
                <w:sz w:val="20"/>
              </w:rPr>
              <w:t>110 上市公司</w:t>
            </w:r>
          </w:p>
        </w:tc>
        <w:tc>
          <w:tcPr>
            <w:tcW w:w="2969" w:type="dxa"/>
            <w:gridSpan w:val="4"/>
            <w:tcBorders>
              <w:top w:val="single" w:color="000000" w:sz="6" w:space="0"/>
              <w:left w:val="single" w:color="000000" w:sz="6" w:space="0"/>
              <w:bottom w:val="single" w:color="000000" w:sz="6" w:space="0"/>
            </w:tcBorders>
            <w:noWrap w:val="0"/>
            <w:vAlign w:val="top"/>
          </w:tcPr>
          <w:p>
            <w:pPr>
              <w:pStyle w:val="11"/>
              <w:spacing w:before="88" w:line="252" w:lineRule="exact"/>
              <w:ind w:left="115"/>
              <w:rPr>
                <w:sz w:val="20"/>
              </w:rPr>
            </w:pPr>
            <w:r>
              <w:rPr>
                <w:sz w:val="20"/>
              </w:rPr>
              <w:t>是（□境内□境外）□否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9819" w:type="dxa"/>
            <w:gridSpan w:val="14"/>
            <w:tcBorders>
              <w:top w:val="single" w:color="000000" w:sz="6" w:space="0"/>
              <w:bottom w:val="single" w:color="000000" w:sz="6" w:space="0"/>
            </w:tcBorders>
            <w:noWrap w:val="0"/>
            <w:vAlign w:val="top"/>
          </w:tcPr>
          <w:p>
            <w:pPr>
              <w:pStyle w:val="11"/>
              <w:spacing w:before="88" w:line="252" w:lineRule="exact"/>
              <w:ind w:left="3152" w:right="3111"/>
              <w:jc w:val="center"/>
              <w:rPr>
                <w:b/>
                <w:sz w:val="20"/>
              </w:rPr>
            </w:pPr>
            <w:r>
              <w:rPr>
                <w:b/>
                <w:sz w:val="20"/>
              </w:rPr>
              <w:t>有关涉税事项情况（存在或者发生下列事项时必填）</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7" w:line="253" w:lineRule="exact"/>
              <w:ind w:left="107"/>
              <w:rPr>
                <w:sz w:val="20"/>
              </w:rPr>
            </w:pPr>
            <w:r>
              <w:rPr>
                <w:sz w:val="20"/>
              </w:rPr>
              <w:t>201 从事股权投资业务</w:t>
            </w:r>
          </w:p>
        </w:tc>
        <w:tc>
          <w:tcPr>
            <w:tcW w:w="1073"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spacing w:before="87" w:line="253" w:lineRule="exact"/>
              <w:ind w:left="113"/>
              <w:rPr>
                <w:sz w:val="20"/>
              </w:rPr>
            </w:pPr>
            <w:r>
              <w:rPr>
                <w:sz w:val="20"/>
              </w:rPr>
              <w:t>□是</w:t>
            </w:r>
          </w:p>
        </w:tc>
        <w:tc>
          <w:tcPr>
            <w:tcW w:w="4097" w:type="dxa"/>
            <w:gridSpan w:val="5"/>
            <w:tcBorders>
              <w:top w:val="single" w:color="000000" w:sz="6" w:space="0"/>
              <w:left w:val="single" w:color="000000" w:sz="6" w:space="0"/>
              <w:bottom w:val="single" w:color="000000" w:sz="6" w:space="0"/>
              <w:right w:val="single" w:color="000000" w:sz="6" w:space="0"/>
            </w:tcBorders>
            <w:noWrap w:val="0"/>
            <w:vAlign w:val="top"/>
          </w:tcPr>
          <w:p>
            <w:pPr>
              <w:pStyle w:val="11"/>
              <w:spacing w:before="87" w:line="253" w:lineRule="exact"/>
              <w:ind w:left="114"/>
              <w:rPr>
                <w:sz w:val="20"/>
              </w:rPr>
            </w:pPr>
            <w:r>
              <w:rPr>
                <w:sz w:val="20"/>
              </w:rPr>
              <w:t>202 存在境外关联交易</w:t>
            </w:r>
          </w:p>
        </w:tc>
        <w:tc>
          <w:tcPr>
            <w:tcW w:w="941" w:type="dxa"/>
            <w:tcBorders>
              <w:top w:val="single" w:color="000000" w:sz="6" w:space="0"/>
              <w:left w:val="single" w:color="000000" w:sz="6" w:space="0"/>
              <w:bottom w:val="single" w:color="000000" w:sz="6" w:space="0"/>
            </w:tcBorders>
            <w:noWrap w:val="0"/>
            <w:vAlign w:val="top"/>
          </w:tcPr>
          <w:p>
            <w:pPr>
              <w:pStyle w:val="11"/>
              <w:spacing w:before="87" w:line="253" w:lineRule="exact"/>
              <w:ind w:left="115"/>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1002" w:type="dxa"/>
            <w:vMerge w:val="restart"/>
            <w:tcBorders>
              <w:top w:val="single" w:color="000000" w:sz="6" w:space="0"/>
              <w:bottom w:val="single" w:color="000000" w:sz="6" w:space="0"/>
              <w:right w:val="single" w:color="000000" w:sz="4" w:space="0"/>
            </w:tcBorders>
            <w:noWrap w:val="0"/>
            <w:vAlign w:val="top"/>
          </w:tcPr>
          <w:p>
            <w:pPr>
              <w:pStyle w:val="11"/>
              <w:spacing w:before="8" w:line="360" w:lineRule="exact"/>
              <w:ind w:left="107" w:right="189"/>
              <w:rPr>
                <w:sz w:val="20"/>
              </w:rPr>
            </w:pPr>
            <w:r>
              <w:rPr>
                <w:sz w:val="20"/>
              </w:rPr>
              <w:t>203 境外所得信息</w:t>
            </w:r>
          </w:p>
        </w:tc>
        <w:tc>
          <w:tcPr>
            <w:tcW w:w="3779" w:type="dxa"/>
            <w:gridSpan w:val="7"/>
            <w:tcBorders>
              <w:top w:val="single" w:color="000000" w:sz="6" w:space="0"/>
              <w:left w:val="single" w:color="000000" w:sz="4" w:space="0"/>
              <w:bottom w:val="single" w:color="000000" w:sz="6" w:space="0"/>
              <w:right w:val="single" w:color="000000" w:sz="6" w:space="0"/>
            </w:tcBorders>
            <w:noWrap w:val="0"/>
            <w:vAlign w:val="top"/>
          </w:tcPr>
          <w:p>
            <w:pPr>
              <w:pStyle w:val="11"/>
              <w:spacing w:before="89" w:line="251" w:lineRule="exact"/>
              <w:ind w:left="117"/>
              <w:rPr>
                <w:sz w:val="20"/>
              </w:rPr>
            </w:pPr>
            <w:r>
              <w:rPr>
                <w:sz w:val="20"/>
              </w:rPr>
              <w:t>203-1 选择采用的境外所得抵免方式</w:t>
            </w:r>
          </w:p>
        </w:tc>
        <w:tc>
          <w:tcPr>
            <w:tcW w:w="5038" w:type="dxa"/>
            <w:gridSpan w:val="6"/>
            <w:tcBorders>
              <w:top w:val="single" w:color="000000" w:sz="6" w:space="0"/>
              <w:left w:val="single" w:color="000000" w:sz="6" w:space="0"/>
              <w:bottom w:val="single" w:color="000000" w:sz="6" w:space="0"/>
            </w:tcBorders>
            <w:noWrap w:val="0"/>
            <w:vAlign w:val="top"/>
          </w:tcPr>
          <w:p>
            <w:pPr>
              <w:pStyle w:val="11"/>
              <w:tabs>
                <w:tab w:val="left" w:pos="2315"/>
              </w:tabs>
              <w:spacing w:before="89" w:line="251" w:lineRule="exact"/>
              <w:ind w:left="114"/>
              <w:rPr>
                <w:sz w:val="20"/>
              </w:rPr>
            </w:pPr>
            <w:r>
              <w:rPr>
                <w:sz w:val="20"/>
              </w:rPr>
              <w:t>□分国（地区）不分项</w:t>
            </w:r>
            <w:r>
              <w:rPr>
                <w:sz w:val="20"/>
              </w:rPr>
              <w:tab/>
            </w:r>
            <w:r>
              <w:rPr>
                <w:sz w:val="20"/>
              </w:rPr>
              <w:t>□不分国（地区）不分项</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1002" w:type="dxa"/>
            <w:vMerge w:val="continue"/>
            <w:tcBorders>
              <w:top w:val="nil"/>
              <w:bottom w:val="single" w:color="000000" w:sz="6" w:space="0"/>
              <w:right w:val="single" w:color="000000" w:sz="4" w:space="0"/>
            </w:tcBorders>
            <w:noWrap w:val="0"/>
            <w:vAlign w:val="top"/>
          </w:tcPr>
          <w:p>
            <w:pPr>
              <w:rPr>
                <w:sz w:val="2"/>
                <w:szCs w:val="2"/>
              </w:rPr>
            </w:pPr>
          </w:p>
        </w:tc>
        <w:tc>
          <w:tcPr>
            <w:tcW w:w="3779" w:type="dxa"/>
            <w:gridSpan w:val="7"/>
            <w:tcBorders>
              <w:top w:val="single" w:color="000000" w:sz="6" w:space="0"/>
              <w:left w:val="single" w:color="000000" w:sz="4" w:space="0"/>
              <w:bottom w:val="single" w:color="000000" w:sz="6" w:space="0"/>
              <w:right w:val="single" w:color="000000" w:sz="6" w:space="0"/>
            </w:tcBorders>
            <w:noWrap w:val="0"/>
            <w:vAlign w:val="top"/>
          </w:tcPr>
          <w:p>
            <w:pPr>
              <w:pStyle w:val="11"/>
              <w:spacing w:before="88" w:line="252" w:lineRule="exact"/>
              <w:ind w:left="117"/>
              <w:rPr>
                <w:sz w:val="20"/>
              </w:rPr>
            </w:pPr>
            <w:r>
              <w:rPr>
                <w:sz w:val="20"/>
              </w:rPr>
              <w:t>203-2 海南自由贸易港新增境外直接投资信息</w:t>
            </w:r>
          </w:p>
        </w:tc>
        <w:tc>
          <w:tcPr>
            <w:tcW w:w="5038" w:type="dxa"/>
            <w:gridSpan w:val="6"/>
            <w:tcBorders>
              <w:top w:val="single" w:color="000000" w:sz="6" w:space="0"/>
              <w:left w:val="single" w:color="000000" w:sz="6" w:space="0"/>
              <w:bottom w:val="single" w:color="000000" w:sz="6" w:space="0"/>
            </w:tcBorders>
            <w:noWrap w:val="0"/>
            <w:vAlign w:val="top"/>
          </w:tcPr>
          <w:p>
            <w:pPr>
              <w:pStyle w:val="11"/>
              <w:spacing w:before="88" w:line="252" w:lineRule="exact"/>
              <w:ind w:left="114"/>
              <w:rPr>
                <w:sz w:val="20"/>
              </w:rPr>
            </w:pPr>
            <w:r>
              <w:rPr>
                <w:sz w:val="20"/>
              </w:rPr>
              <w:t>□是（产业类别：□旅游业□现代服务业□高新技术产业）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204 有限合伙制创业投资企业的法人合伙人</w:t>
            </w:r>
          </w:p>
        </w:tc>
        <w:tc>
          <w:tcPr>
            <w:tcW w:w="1073" w:type="dxa"/>
            <w:gridSpan w:val="2"/>
            <w:tcBorders>
              <w:top w:val="single" w:color="000000" w:sz="6" w:space="0"/>
              <w:left w:val="single" w:color="000000" w:sz="6" w:space="0"/>
              <w:bottom w:val="single" w:color="000000" w:sz="6" w:space="0"/>
              <w:right w:val="single" w:color="000000" w:sz="4" w:space="0"/>
            </w:tcBorders>
            <w:noWrap w:val="0"/>
            <w:vAlign w:val="top"/>
          </w:tcPr>
          <w:p>
            <w:pPr>
              <w:pStyle w:val="11"/>
              <w:spacing w:before="88" w:line="252" w:lineRule="exact"/>
              <w:ind w:left="113"/>
              <w:rPr>
                <w:sz w:val="20"/>
              </w:rPr>
            </w:pPr>
            <w:r>
              <w:rPr>
                <w:sz w:val="20"/>
              </w:rPr>
              <w:t>□是</w:t>
            </w:r>
          </w:p>
        </w:tc>
        <w:tc>
          <w:tcPr>
            <w:tcW w:w="4096" w:type="dxa"/>
            <w:gridSpan w:val="4"/>
            <w:tcBorders>
              <w:top w:val="single" w:color="000000" w:sz="6" w:space="0"/>
              <w:left w:val="single" w:color="000000" w:sz="4" w:space="0"/>
              <w:bottom w:val="single" w:color="000000" w:sz="6" w:space="0"/>
              <w:right w:val="single" w:color="000000" w:sz="6" w:space="0"/>
            </w:tcBorders>
            <w:noWrap w:val="0"/>
            <w:vAlign w:val="top"/>
          </w:tcPr>
          <w:p>
            <w:pPr>
              <w:pStyle w:val="11"/>
              <w:spacing w:before="88" w:line="252" w:lineRule="exact"/>
              <w:ind w:left="117"/>
              <w:rPr>
                <w:sz w:val="20"/>
              </w:rPr>
            </w:pPr>
            <w:r>
              <w:rPr>
                <w:sz w:val="20"/>
              </w:rPr>
              <w:t>205 创业投资企业</w:t>
            </w:r>
          </w:p>
        </w:tc>
        <w:tc>
          <w:tcPr>
            <w:tcW w:w="942" w:type="dxa"/>
            <w:gridSpan w:val="2"/>
            <w:tcBorders>
              <w:top w:val="single" w:color="000000" w:sz="6" w:space="0"/>
              <w:left w:val="single" w:color="000000" w:sz="6" w:space="0"/>
              <w:bottom w:val="single" w:color="000000" w:sz="6" w:space="0"/>
            </w:tcBorders>
            <w:noWrap w:val="0"/>
            <w:vAlign w:val="top"/>
          </w:tcPr>
          <w:p>
            <w:pPr>
              <w:pStyle w:val="11"/>
              <w:spacing w:before="88" w:line="252" w:lineRule="exact"/>
              <w:ind w:left="115"/>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7" w:line="253" w:lineRule="exact"/>
              <w:ind w:left="107"/>
              <w:rPr>
                <w:sz w:val="20"/>
              </w:rPr>
            </w:pPr>
            <w:r>
              <w:rPr>
                <w:sz w:val="20"/>
              </w:rPr>
              <w:t>206 技术先进型服务企业类型（填写代码）</w:t>
            </w:r>
          </w:p>
        </w:tc>
        <w:tc>
          <w:tcPr>
            <w:tcW w:w="1073" w:type="dxa"/>
            <w:gridSpan w:val="2"/>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20"/>
              </w:rPr>
            </w:pPr>
          </w:p>
        </w:tc>
        <w:tc>
          <w:tcPr>
            <w:tcW w:w="4096" w:type="dxa"/>
            <w:gridSpan w:val="4"/>
            <w:tcBorders>
              <w:top w:val="single" w:color="000000" w:sz="6" w:space="0"/>
              <w:left w:val="single" w:color="000000" w:sz="4" w:space="0"/>
              <w:bottom w:val="single" w:color="000000" w:sz="6" w:space="0"/>
              <w:right w:val="single" w:color="000000" w:sz="4" w:space="0"/>
            </w:tcBorders>
            <w:noWrap w:val="0"/>
            <w:vAlign w:val="top"/>
          </w:tcPr>
          <w:p>
            <w:pPr>
              <w:pStyle w:val="11"/>
              <w:spacing w:before="87" w:line="253" w:lineRule="exact"/>
              <w:ind w:left="117"/>
              <w:rPr>
                <w:sz w:val="20"/>
              </w:rPr>
            </w:pPr>
            <w:r>
              <w:rPr>
                <w:sz w:val="20"/>
              </w:rPr>
              <w:t>207 非营利组织</w:t>
            </w:r>
          </w:p>
        </w:tc>
        <w:tc>
          <w:tcPr>
            <w:tcW w:w="942" w:type="dxa"/>
            <w:gridSpan w:val="2"/>
            <w:tcBorders>
              <w:top w:val="single" w:color="000000" w:sz="6" w:space="0"/>
              <w:left w:val="single" w:color="000000" w:sz="4" w:space="0"/>
              <w:bottom w:val="single" w:color="000000" w:sz="6" w:space="0"/>
            </w:tcBorders>
            <w:noWrap w:val="0"/>
            <w:vAlign w:val="top"/>
          </w:tcPr>
          <w:p>
            <w:pPr>
              <w:pStyle w:val="11"/>
              <w:spacing w:before="87" w:line="253" w:lineRule="exact"/>
              <w:ind w:left="117"/>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708" w:type="dxa"/>
            <w:gridSpan w:val="6"/>
            <w:tcBorders>
              <w:top w:val="single" w:color="000000" w:sz="6" w:space="0"/>
              <w:bottom w:val="single" w:color="000000" w:sz="6" w:space="0"/>
              <w:right w:val="single" w:color="000000" w:sz="6" w:space="0"/>
            </w:tcBorders>
            <w:noWrap w:val="0"/>
            <w:vAlign w:val="top"/>
          </w:tcPr>
          <w:p>
            <w:pPr>
              <w:pStyle w:val="11"/>
              <w:spacing w:before="89" w:line="251" w:lineRule="exact"/>
              <w:ind w:left="107"/>
              <w:rPr>
                <w:sz w:val="20"/>
              </w:rPr>
            </w:pPr>
            <w:r>
              <w:rPr>
                <w:sz w:val="20"/>
              </w:rPr>
              <w:t>208 软件、集成电路企业类型（填写代码）</w:t>
            </w:r>
          </w:p>
        </w:tc>
        <w:tc>
          <w:tcPr>
            <w:tcW w:w="1073" w:type="dxa"/>
            <w:gridSpan w:val="2"/>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20"/>
              </w:rPr>
            </w:pPr>
          </w:p>
        </w:tc>
        <w:tc>
          <w:tcPr>
            <w:tcW w:w="2322" w:type="dxa"/>
            <w:gridSpan w:val="3"/>
            <w:tcBorders>
              <w:top w:val="single" w:color="000000" w:sz="6" w:space="0"/>
              <w:left w:val="single" w:color="000000" w:sz="4" w:space="0"/>
              <w:bottom w:val="single" w:color="000000" w:sz="6" w:space="0"/>
              <w:right w:val="single" w:color="000000" w:sz="4" w:space="0"/>
            </w:tcBorders>
            <w:noWrap w:val="0"/>
            <w:vAlign w:val="top"/>
          </w:tcPr>
          <w:p>
            <w:pPr>
              <w:pStyle w:val="11"/>
              <w:spacing w:before="89" w:line="251" w:lineRule="exact"/>
              <w:ind w:left="117"/>
              <w:rPr>
                <w:sz w:val="20"/>
              </w:rPr>
            </w:pPr>
            <w:r>
              <w:rPr>
                <w:sz w:val="20"/>
              </w:rPr>
              <w:t>209 集成电路生产项目类型</w:t>
            </w:r>
          </w:p>
        </w:tc>
        <w:tc>
          <w:tcPr>
            <w:tcW w:w="2716" w:type="dxa"/>
            <w:gridSpan w:val="3"/>
            <w:tcBorders>
              <w:top w:val="single" w:color="000000" w:sz="6" w:space="0"/>
              <w:left w:val="single" w:color="000000" w:sz="4" w:space="0"/>
              <w:bottom w:val="single" w:color="000000" w:sz="6" w:space="0"/>
            </w:tcBorders>
            <w:noWrap w:val="0"/>
            <w:vAlign w:val="top"/>
          </w:tcPr>
          <w:p>
            <w:pPr>
              <w:pStyle w:val="11"/>
              <w:spacing w:before="89" w:line="251" w:lineRule="exact"/>
              <w:ind w:left="116"/>
              <w:rPr>
                <w:sz w:val="20"/>
              </w:rPr>
            </w:pPr>
            <w:r>
              <w:rPr>
                <w:sz w:val="20"/>
              </w:rPr>
              <w:t>□130</w:t>
            </w:r>
            <w:r>
              <w:rPr>
                <w:spacing w:val="-14"/>
                <w:sz w:val="20"/>
              </w:rPr>
              <w:t xml:space="preserve"> 纳米 □</w:t>
            </w:r>
            <w:r>
              <w:rPr>
                <w:sz w:val="20"/>
              </w:rPr>
              <w:t>65</w:t>
            </w:r>
            <w:r>
              <w:rPr>
                <w:spacing w:val="-14"/>
                <w:sz w:val="20"/>
              </w:rPr>
              <w:t xml:space="preserve"> 纳米 □</w:t>
            </w:r>
            <w:r>
              <w:rPr>
                <w:sz w:val="20"/>
              </w:rPr>
              <w:t>28</w:t>
            </w:r>
            <w:r>
              <w:rPr>
                <w:spacing w:val="-22"/>
                <w:sz w:val="20"/>
              </w:rPr>
              <w:t xml:space="preserve"> 纳米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9" w:hRule="atLeast"/>
          <w:jc w:val="center"/>
        </w:trPr>
        <w:tc>
          <w:tcPr>
            <w:tcW w:w="1168" w:type="dxa"/>
            <w:gridSpan w:val="2"/>
            <w:vMerge w:val="restart"/>
            <w:tcBorders>
              <w:top w:val="single" w:color="000000" w:sz="6" w:space="0"/>
              <w:bottom w:val="single" w:color="000000" w:sz="6" w:space="0"/>
              <w:right w:val="single" w:color="000000" w:sz="6" w:space="0"/>
            </w:tcBorders>
            <w:noWrap w:val="0"/>
            <w:vAlign w:val="top"/>
          </w:tcPr>
          <w:p>
            <w:pPr>
              <w:pStyle w:val="11"/>
              <w:spacing w:before="7" w:line="360" w:lineRule="exact"/>
              <w:ind w:left="107" w:right="157"/>
              <w:rPr>
                <w:sz w:val="20"/>
              </w:rPr>
            </w:pPr>
            <w:r>
              <w:rPr>
                <w:sz w:val="20"/>
              </w:rPr>
              <w:t>210 科技型中小企业</w:t>
            </w:r>
          </w:p>
        </w:tc>
        <w:tc>
          <w:tcPr>
            <w:tcW w:w="3613" w:type="dxa"/>
            <w:gridSpan w:val="6"/>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4"/>
              <w:rPr>
                <w:sz w:val="20"/>
              </w:rPr>
            </w:pPr>
            <w:r>
              <w:rPr>
                <w:sz w:val="20"/>
              </w:rPr>
              <w:t>210-1 年（申报所属期年度）入库编号 1</w:t>
            </w:r>
          </w:p>
        </w:tc>
        <w:tc>
          <w:tcPr>
            <w:tcW w:w="2069"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2028" w:type="dxa"/>
            <w:gridSpan w:val="3"/>
            <w:tcBorders>
              <w:top w:val="single" w:color="000000" w:sz="6" w:space="0"/>
              <w:left w:val="single" w:color="000000" w:sz="6" w:space="0"/>
              <w:bottom w:val="single" w:color="000000" w:sz="6" w:space="0"/>
              <w:right w:val="single" w:color="000000" w:sz="4" w:space="0"/>
            </w:tcBorders>
            <w:noWrap w:val="0"/>
            <w:vAlign w:val="top"/>
          </w:tcPr>
          <w:p>
            <w:pPr>
              <w:pStyle w:val="11"/>
              <w:spacing w:before="88" w:line="252" w:lineRule="exact"/>
              <w:ind w:left="115"/>
              <w:rPr>
                <w:sz w:val="20"/>
              </w:rPr>
            </w:pPr>
            <w:r>
              <w:rPr>
                <w:sz w:val="20"/>
              </w:rPr>
              <w:t>210-2 入库时间 1</w:t>
            </w:r>
          </w:p>
        </w:tc>
        <w:tc>
          <w:tcPr>
            <w:tcW w:w="941" w:type="dxa"/>
            <w:tcBorders>
              <w:top w:val="single" w:color="000000" w:sz="6" w:space="0"/>
              <w:left w:val="single" w:color="000000" w:sz="4"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1168" w:type="dxa"/>
            <w:gridSpan w:val="2"/>
            <w:vMerge w:val="continue"/>
            <w:tcBorders>
              <w:top w:val="nil"/>
              <w:bottom w:val="single" w:color="000000" w:sz="6" w:space="0"/>
              <w:right w:val="single" w:color="000000" w:sz="6" w:space="0"/>
            </w:tcBorders>
            <w:noWrap w:val="0"/>
            <w:vAlign w:val="top"/>
          </w:tcPr>
          <w:p>
            <w:pPr>
              <w:rPr>
                <w:sz w:val="2"/>
                <w:szCs w:val="2"/>
              </w:rPr>
            </w:pPr>
          </w:p>
        </w:tc>
        <w:tc>
          <w:tcPr>
            <w:tcW w:w="3613" w:type="dxa"/>
            <w:gridSpan w:val="6"/>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4"/>
              <w:rPr>
                <w:sz w:val="20"/>
              </w:rPr>
            </w:pPr>
            <w:r>
              <w:rPr>
                <w:sz w:val="20"/>
              </w:rPr>
              <w:t>210-3 年（所属期下一年度）入库编号 2</w:t>
            </w:r>
          </w:p>
        </w:tc>
        <w:tc>
          <w:tcPr>
            <w:tcW w:w="2069"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2028"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8" w:line="252" w:lineRule="exact"/>
              <w:ind w:left="115"/>
              <w:rPr>
                <w:sz w:val="20"/>
              </w:rPr>
            </w:pPr>
            <w:r>
              <w:rPr>
                <w:sz w:val="20"/>
              </w:rPr>
              <w:t>210-4 入库时间 2</w:t>
            </w: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083" w:type="dxa"/>
            <w:gridSpan w:val="5"/>
            <w:vMerge w:val="restart"/>
            <w:tcBorders>
              <w:top w:val="single" w:color="000000" w:sz="6" w:space="0"/>
              <w:bottom w:val="single" w:color="000000" w:sz="6" w:space="0"/>
              <w:right w:val="single" w:color="000000" w:sz="4" w:space="0"/>
            </w:tcBorders>
            <w:noWrap w:val="0"/>
            <w:vAlign w:val="top"/>
          </w:tcPr>
          <w:p>
            <w:pPr>
              <w:pStyle w:val="11"/>
              <w:spacing w:before="111" w:line="264" w:lineRule="auto"/>
              <w:ind w:left="107" w:right="96"/>
              <w:rPr>
                <w:sz w:val="20"/>
              </w:rPr>
            </w:pPr>
            <w:r>
              <w:rPr>
                <w:sz w:val="20"/>
              </w:rPr>
              <w:t>211 高新技术企业申报所属期年度有效的高新技术企业证书</w:t>
            </w:r>
          </w:p>
        </w:tc>
        <w:tc>
          <w:tcPr>
            <w:tcW w:w="1698" w:type="dxa"/>
            <w:gridSpan w:val="3"/>
            <w:tcBorders>
              <w:top w:val="single" w:color="000000" w:sz="6" w:space="0"/>
              <w:left w:val="single" w:color="000000" w:sz="4" w:space="0"/>
              <w:bottom w:val="single" w:color="000000" w:sz="4" w:space="0"/>
              <w:right w:val="single" w:color="000000" w:sz="6" w:space="0"/>
            </w:tcBorders>
            <w:noWrap w:val="0"/>
            <w:vAlign w:val="top"/>
          </w:tcPr>
          <w:p>
            <w:pPr>
              <w:pStyle w:val="11"/>
              <w:spacing w:before="87" w:line="253" w:lineRule="exact"/>
              <w:ind w:left="218"/>
              <w:rPr>
                <w:sz w:val="20"/>
              </w:rPr>
            </w:pPr>
            <w:r>
              <w:rPr>
                <w:sz w:val="20"/>
              </w:rPr>
              <w:t>211-1 证书编号 1</w:t>
            </w:r>
          </w:p>
        </w:tc>
        <w:tc>
          <w:tcPr>
            <w:tcW w:w="2069"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2028"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7" w:line="253" w:lineRule="exact"/>
              <w:ind w:left="115"/>
              <w:rPr>
                <w:sz w:val="20"/>
              </w:rPr>
            </w:pPr>
            <w:r>
              <w:rPr>
                <w:sz w:val="20"/>
              </w:rPr>
              <w:t>211-2 发证时间 1</w:t>
            </w: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083" w:type="dxa"/>
            <w:gridSpan w:val="5"/>
            <w:vMerge w:val="continue"/>
            <w:tcBorders>
              <w:top w:val="nil"/>
              <w:bottom w:val="single" w:color="000000" w:sz="6" w:space="0"/>
              <w:right w:val="single" w:color="000000" w:sz="4" w:space="0"/>
            </w:tcBorders>
            <w:noWrap w:val="0"/>
            <w:vAlign w:val="top"/>
          </w:tcPr>
          <w:p>
            <w:pPr>
              <w:rPr>
                <w:sz w:val="2"/>
                <w:szCs w:val="2"/>
              </w:rPr>
            </w:pPr>
          </w:p>
        </w:tc>
        <w:tc>
          <w:tcPr>
            <w:tcW w:w="1698" w:type="dxa"/>
            <w:gridSpan w:val="3"/>
            <w:tcBorders>
              <w:top w:val="single" w:color="000000" w:sz="4" w:space="0"/>
              <w:left w:val="single" w:color="000000" w:sz="4" w:space="0"/>
              <w:bottom w:val="single" w:color="000000" w:sz="6" w:space="0"/>
              <w:right w:val="single" w:color="000000" w:sz="6" w:space="0"/>
            </w:tcBorders>
            <w:noWrap w:val="0"/>
            <w:vAlign w:val="top"/>
          </w:tcPr>
          <w:p>
            <w:pPr>
              <w:pStyle w:val="11"/>
              <w:spacing w:before="89" w:line="251" w:lineRule="exact"/>
              <w:ind w:left="218"/>
              <w:rPr>
                <w:sz w:val="20"/>
              </w:rPr>
            </w:pPr>
            <w:r>
              <w:rPr>
                <w:sz w:val="20"/>
              </w:rPr>
              <w:t>211-3 证书编号 2</w:t>
            </w:r>
          </w:p>
        </w:tc>
        <w:tc>
          <w:tcPr>
            <w:tcW w:w="2069" w:type="dxa"/>
            <w:gridSpan w:val="2"/>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2028"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9" w:line="251" w:lineRule="exact"/>
              <w:ind w:left="115"/>
              <w:rPr>
                <w:sz w:val="20"/>
              </w:rPr>
            </w:pPr>
            <w:r>
              <w:rPr>
                <w:sz w:val="20"/>
              </w:rPr>
              <w:t>211-4 发证时间 2</w:t>
            </w: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083" w:type="dxa"/>
            <w:gridSpan w:val="5"/>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212 重组事项税务处理方式</w:t>
            </w:r>
          </w:p>
        </w:tc>
        <w:tc>
          <w:tcPr>
            <w:tcW w:w="1698" w:type="dxa"/>
            <w:gridSpan w:val="3"/>
            <w:tcBorders>
              <w:top w:val="single" w:color="000000" w:sz="6" w:space="0"/>
              <w:left w:val="single" w:color="000000" w:sz="6" w:space="0"/>
              <w:bottom w:val="single" w:color="000000" w:sz="6" w:space="0"/>
              <w:right w:val="single" w:color="000000" w:sz="4" w:space="0"/>
            </w:tcBorders>
            <w:noWrap w:val="0"/>
            <w:vAlign w:val="top"/>
          </w:tcPr>
          <w:p>
            <w:pPr>
              <w:pStyle w:val="11"/>
              <w:spacing w:before="88" w:line="252" w:lineRule="exact"/>
              <w:ind w:left="114"/>
              <w:rPr>
                <w:sz w:val="20"/>
              </w:rPr>
            </w:pPr>
            <w:r>
              <w:rPr>
                <w:sz w:val="20"/>
              </w:rPr>
              <w:t>□一般性□特殊性</w:t>
            </w:r>
          </w:p>
        </w:tc>
        <w:tc>
          <w:tcPr>
            <w:tcW w:w="4097" w:type="dxa"/>
            <w:gridSpan w:val="5"/>
            <w:tcBorders>
              <w:top w:val="single" w:color="000000" w:sz="6" w:space="0"/>
              <w:left w:val="single" w:color="000000" w:sz="4" w:space="0"/>
              <w:bottom w:val="single" w:color="000000" w:sz="6" w:space="0"/>
              <w:right w:val="single" w:color="000000" w:sz="6" w:space="0"/>
            </w:tcBorders>
            <w:noWrap w:val="0"/>
            <w:vAlign w:val="top"/>
          </w:tcPr>
          <w:p>
            <w:pPr>
              <w:pStyle w:val="11"/>
              <w:spacing w:before="88" w:line="252" w:lineRule="exact"/>
              <w:ind w:left="117"/>
              <w:rPr>
                <w:sz w:val="20"/>
              </w:rPr>
            </w:pPr>
            <w:r>
              <w:rPr>
                <w:sz w:val="20"/>
              </w:rPr>
              <w:t>213 重组交易类型（填写代码）</w:t>
            </w: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3083" w:type="dxa"/>
            <w:gridSpan w:val="5"/>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214 重组当事方类型（填写代码）</w:t>
            </w:r>
          </w:p>
        </w:tc>
        <w:tc>
          <w:tcPr>
            <w:tcW w:w="1698" w:type="dxa"/>
            <w:gridSpan w:val="3"/>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20"/>
              </w:rPr>
            </w:pPr>
          </w:p>
        </w:tc>
        <w:tc>
          <w:tcPr>
            <w:tcW w:w="4097" w:type="dxa"/>
            <w:gridSpan w:val="5"/>
            <w:tcBorders>
              <w:top w:val="single" w:color="000000" w:sz="6" w:space="0"/>
              <w:left w:val="single" w:color="000000" w:sz="4" w:space="0"/>
              <w:bottom w:val="single" w:color="000000" w:sz="6" w:space="0"/>
              <w:right w:val="single" w:color="000000" w:sz="6" w:space="0"/>
            </w:tcBorders>
            <w:noWrap w:val="0"/>
            <w:vAlign w:val="top"/>
          </w:tcPr>
          <w:p>
            <w:pPr>
              <w:pStyle w:val="11"/>
              <w:spacing w:before="88" w:line="252" w:lineRule="exact"/>
              <w:ind w:left="117"/>
              <w:rPr>
                <w:sz w:val="20"/>
              </w:rPr>
            </w:pPr>
            <w:r>
              <w:rPr>
                <w:sz w:val="20"/>
              </w:rPr>
              <w:t>215 政策性搬迁开始时间</w:t>
            </w:r>
          </w:p>
        </w:tc>
        <w:tc>
          <w:tcPr>
            <w:tcW w:w="941" w:type="dxa"/>
            <w:tcBorders>
              <w:top w:val="single" w:color="000000" w:sz="6" w:space="0"/>
              <w:left w:val="single" w:color="000000" w:sz="6" w:space="0"/>
              <w:bottom w:val="single" w:color="000000" w:sz="6" w:space="0"/>
            </w:tcBorders>
            <w:noWrap w:val="0"/>
            <w:vAlign w:val="top"/>
          </w:tcPr>
          <w:p>
            <w:pPr>
              <w:pStyle w:val="11"/>
              <w:spacing w:before="88" w:line="252" w:lineRule="exact"/>
              <w:ind w:left="115"/>
              <w:rPr>
                <w:sz w:val="20"/>
              </w:rPr>
            </w:pPr>
            <w:r>
              <w:rPr>
                <w:sz w:val="20"/>
              </w:rPr>
              <w:t>_年_月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4101" w:type="dxa"/>
            <w:gridSpan w:val="7"/>
            <w:tcBorders>
              <w:top w:val="single" w:color="000000" w:sz="6" w:space="0"/>
              <w:bottom w:val="single" w:color="000000" w:sz="6" w:space="0"/>
              <w:right w:val="single" w:color="000000" w:sz="6" w:space="0"/>
            </w:tcBorders>
            <w:noWrap w:val="0"/>
            <w:vAlign w:val="top"/>
          </w:tcPr>
          <w:p>
            <w:pPr>
              <w:pStyle w:val="11"/>
              <w:spacing w:before="87" w:line="253" w:lineRule="exact"/>
              <w:ind w:left="107"/>
              <w:rPr>
                <w:sz w:val="20"/>
              </w:rPr>
            </w:pPr>
            <w:r>
              <w:rPr>
                <w:sz w:val="20"/>
              </w:rPr>
              <w:t>216 发生政策性搬迁且停止生产经营无所得年度</w:t>
            </w:r>
          </w:p>
        </w:tc>
        <w:tc>
          <w:tcPr>
            <w:tcW w:w="680" w:type="dxa"/>
            <w:tcBorders>
              <w:top w:val="single" w:color="000000" w:sz="6" w:space="0"/>
              <w:left w:val="single" w:color="000000" w:sz="6" w:space="0"/>
              <w:bottom w:val="single" w:color="000000" w:sz="6" w:space="0"/>
              <w:right w:val="single" w:color="000000" w:sz="4" w:space="0"/>
            </w:tcBorders>
            <w:noWrap w:val="0"/>
            <w:vAlign w:val="top"/>
          </w:tcPr>
          <w:p>
            <w:pPr>
              <w:pStyle w:val="11"/>
              <w:spacing w:before="87" w:line="253" w:lineRule="exact"/>
              <w:ind w:left="115"/>
              <w:rPr>
                <w:sz w:val="20"/>
              </w:rPr>
            </w:pPr>
            <w:r>
              <w:rPr>
                <w:sz w:val="20"/>
              </w:rPr>
              <w:t>□是</w:t>
            </w:r>
          </w:p>
        </w:tc>
        <w:tc>
          <w:tcPr>
            <w:tcW w:w="4097" w:type="dxa"/>
            <w:gridSpan w:val="5"/>
            <w:tcBorders>
              <w:top w:val="single" w:color="000000" w:sz="6" w:space="0"/>
              <w:left w:val="single" w:color="000000" w:sz="4" w:space="0"/>
              <w:bottom w:val="single" w:color="000000" w:sz="6" w:space="0"/>
              <w:right w:val="single" w:color="000000" w:sz="6" w:space="0"/>
            </w:tcBorders>
            <w:noWrap w:val="0"/>
            <w:vAlign w:val="top"/>
          </w:tcPr>
          <w:p>
            <w:pPr>
              <w:pStyle w:val="11"/>
              <w:spacing w:before="87" w:line="253" w:lineRule="exact"/>
              <w:ind w:left="117"/>
              <w:rPr>
                <w:sz w:val="20"/>
              </w:rPr>
            </w:pPr>
            <w:r>
              <w:rPr>
                <w:sz w:val="20"/>
              </w:rPr>
              <w:t>217 政策性搬迁损失分期扣除年度</w:t>
            </w:r>
          </w:p>
        </w:tc>
        <w:tc>
          <w:tcPr>
            <w:tcW w:w="941" w:type="dxa"/>
            <w:tcBorders>
              <w:top w:val="single" w:color="000000" w:sz="6" w:space="0"/>
              <w:left w:val="single" w:color="000000" w:sz="6" w:space="0"/>
              <w:bottom w:val="single" w:color="000000" w:sz="6" w:space="0"/>
            </w:tcBorders>
            <w:noWrap w:val="0"/>
            <w:vAlign w:val="top"/>
          </w:tcPr>
          <w:p>
            <w:pPr>
              <w:pStyle w:val="11"/>
              <w:spacing w:before="87" w:line="253" w:lineRule="exact"/>
              <w:ind w:left="115"/>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4101" w:type="dxa"/>
            <w:gridSpan w:val="7"/>
            <w:tcBorders>
              <w:top w:val="single" w:color="000000" w:sz="6" w:space="0"/>
              <w:bottom w:val="single" w:color="000000" w:sz="6" w:space="0"/>
              <w:right w:val="single" w:color="000000" w:sz="6" w:space="0"/>
            </w:tcBorders>
            <w:noWrap w:val="0"/>
            <w:vAlign w:val="top"/>
          </w:tcPr>
          <w:p>
            <w:pPr>
              <w:pStyle w:val="11"/>
              <w:spacing w:before="89" w:line="251" w:lineRule="exact"/>
              <w:ind w:left="107"/>
              <w:rPr>
                <w:sz w:val="20"/>
              </w:rPr>
            </w:pPr>
            <w:r>
              <w:rPr>
                <w:sz w:val="20"/>
              </w:rPr>
              <w:t>218 发生非货币性资产对外投资递延纳税事项</w:t>
            </w:r>
          </w:p>
        </w:tc>
        <w:tc>
          <w:tcPr>
            <w:tcW w:w="680" w:type="dxa"/>
            <w:tcBorders>
              <w:top w:val="single" w:color="000000" w:sz="6" w:space="0"/>
              <w:left w:val="single" w:color="000000" w:sz="6" w:space="0"/>
              <w:bottom w:val="single" w:color="000000" w:sz="6" w:space="0"/>
              <w:right w:val="single" w:color="000000" w:sz="4" w:space="0"/>
            </w:tcBorders>
            <w:noWrap w:val="0"/>
            <w:vAlign w:val="top"/>
          </w:tcPr>
          <w:p>
            <w:pPr>
              <w:pStyle w:val="11"/>
              <w:spacing w:before="89" w:line="251" w:lineRule="exact"/>
              <w:ind w:left="115"/>
              <w:rPr>
                <w:sz w:val="20"/>
              </w:rPr>
            </w:pPr>
            <w:r>
              <w:rPr>
                <w:sz w:val="20"/>
              </w:rPr>
              <w:t>□是</w:t>
            </w:r>
          </w:p>
        </w:tc>
        <w:tc>
          <w:tcPr>
            <w:tcW w:w="4097" w:type="dxa"/>
            <w:gridSpan w:val="5"/>
            <w:tcBorders>
              <w:top w:val="single" w:color="000000" w:sz="6" w:space="0"/>
              <w:left w:val="single" w:color="000000" w:sz="4" w:space="0"/>
              <w:bottom w:val="single" w:color="000000" w:sz="6" w:space="0"/>
              <w:right w:val="single" w:color="000000" w:sz="6" w:space="0"/>
            </w:tcBorders>
            <w:noWrap w:val="0"/>
            <w:vAlign w:val="top"/>
          </w:tcPr>
          <w:p>
            <w:pPr>
              <w:pStyle w:val="11"/>
              <w:spacing w:before="53"/>
              <w:ind w:left="117"/>
              <w:rPr>
                <w:sz w:val="20"/>
              </w:rPr>
            </w:pPr>
            <w:r>
              <w:rPr>
                <w:sz w:val="20"/>
              </w:rPr>
              <w:t>219 非货币性资产对外投资转让所得递延纳税年度</w:t>
            </w:r>
          </w:p>
        </w:tc>
        <w:tc>
          <w:tcPr>
            <w:tcW w:w="941" w:type="dxa"/>
            <w:tcBorders>
              <w:top w:val="single" w:color="000000" w:sz="6" w:space="0"/>
              <w:left w:val="single" w:color="000000" w:sz="6" w:space="0"/>
              <w:bottom w:val="single" w:color="000000" w:sz="6" w:space="0"/>
            </w:tcBorders>
            <w:noWrap w:val="0"/>
            <w:vAlign w:val="top"/>
          </w:tcPr>
          <w:p>
            <w:pPr>
              <w:pStyle w:val="11"/>
              <w:spacing w:before="89" w:line="251" w:lineRule="exact"/>
              <w:ind w:left="115"/>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4101" w:type="dxa"/>
            <w:gridSpan w:val="7"/>
            <w:tcBorders>
              <w:top w:val="single" w:color="000000" w:sz="6" w:space="0"/>
              <w:bottom w:val="single" w:color="000000" w:sz="6" w:space="0"/>
              <w:right w:val="single" w:color="000000" w:sz="6" w:space="0"/>
            </w:tcBorders>
            <w:noWrap w:val="0"/>
            <w:vAlign w:val="top"/>
          </w:tcPr>
          <w:p>
            <w:pPr>
              <w:pStyle w:val="11"/>
              <w:spacing w:before="88" w:line="252" w:lineRule="exact"/>
              <w:ind w:left="107"/>
              <w:rPr>
                <w:sz w:val="20"/>
              </w:rPr>
            </w:pPr>
            <w:r>
              <w:rPr>
                <w:sz w:val="20"/>
              </w:rPr>
              <w:t>220 发生技术成果投资入股递延纳税事项</w:t>
            </w:r>
          </w:p>
        </w:tc>
        <w:tc>
          <w:tcPr>
            <w:tcW w:w="680" w:type="dxa"/>
            <w:tcBorders>
              <w:top w:val="single" w:color="000000" w:sz="6" w:space="0"/>
              <w:left w:val="single" w:color="000000" w:sz="6" w:space="0"/>
              <w:bottom w:val="single" w:color="000000" w:sz="6" w:space="0"/>
              <w:right w:val="single" w:color="000000" w:sz="4" w:space="0"/>
            </w:tcBorders>
            <w:noWrap w:val="0"/>
            <w:vAlign w:val="top"/>
          </w:tcPr>
          <w:p>
            <w:pPr>
              <w:pStyle w:val="11"/>
              <w:spacing w:before="88" w:line="252" w:lineRule="exact"/>
              <w:ind w:left="115"/>
              <w:rPr>
                <w:sz w:val="20"/>
              </w:rPr>
            </w:pPr>
            <w:r>
              <w:rPr>
                <w:sz w:val="20"/>
              </w:rPr>
              <w:t>□是</w:t>
            </w:r>
          </w:p>
        </w:tc>
        <w:tc>
          <w:tcPr>
            <w:tcW w:w="4097" w:type="dxa"/>
            <w:gridSpan w:val="5"/>
            <w:tcBorders>
              <w:top w:val="single" w:color="000000" w:sz="6" w:space="0"/>
              <w:left w:val="single" w:color="000000" w:sz="4" w:space="0"/>
              <w:bottom w:val="single" w:color="000000" w:sz="6" w:space="0"/>
              <w:right w:val="single" w:color="000000" w:sz="6" w:space="0"/>
            </w:tcBorders>
            <w:noWrap w:val="0"/>
            <w:vAlign w:val="top"/>
          </w:tcPr>
          <w:p>
            <w:pPr>
              <w:pStyle w:val="11"/>
              <w:spacing w:before="88" w:line="252" w:lineRule="exact"/>
              <w:ind w:left="117"/>
              <w:rPr>
                <w:sz w:val="20"/>
              </w:rPr>
            </w:pPr>
            <w:r>
              <w:rPr>
                <w:sz w:val="20"/>
              </w:rPr>
              <w:t>221 技术成果投资入股递延纳税年度</w:t>
            </w:r>
          </w:p>
        </w:tc>
        <w:tc>
          <w:tcPr>
            <w:tcW w:w="941" w:type="dxa"/>
            <w:tcBorders>
              <w:top w:val="single" w:color="000000" w:sz="6" w:space="0"/>
              <w:left w:val="single" w:color="000000" w:sz="6" w:space="0"/>
              <w:bottom w:val="single" w:color="000000" w:sz="6" w:space="0"/>
            </w:tcBorders>
            <w:noWrap w:val="0"/>
            <w:vAlign w:val="top"/>
          </w:tcPr>
          <w:p>
            <w:pPr>
              <w:pStyle w:val="11"/>
              <w:spacing w:before="88" w:line="252" w:lineRule="exact"/>
              <w:ind w:left="115"/>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9" w:hRule="atLeast"/>
          <w:jc w:val="center"/>
        </w:trPr>
        <w:tc>
          <w:tcPr>
            <w:tcW w:w="4101" w:type="dxa"/>
            <w:gridSpan w:val="7"/>
            <w:tcBorders>
              <w:top w:val="single" w:color="000000" w:sz="6" w:space="0"/>
              <w:right w:val="single" w:color="000000" w:sz="6" w:space="0"/>
            </w:tcBorders>
            <w:noWrap w:val="0"/>
            <w:vAlign w:val="top"/>
          </w:tcPr>
          <w:p>
            <w:pPr>
              <w:pStyle w:val="11"/>
              <w:spacing w:before="88" w:line="252" w:lineRule="exact"/>
              <w:ind w:left="107"/>
              <w:rPr>
                <w:sz w:val="20"/>
              </w:rPr>
            </w:pPr>
            <w:r>
              <w:rPr>
                <w:sz w:val="20"/>
              </w:rPr>
              <w:t>222 发生资产（股权）划转特殊性税务处理事项</w:t>
            </w:r>
          </w:p>
        </w:tc>
        <w:tc>
          <w:tcPr>
            <w:tcW w:w="680" w:type="dxa"/>
            <w:tcBorders>
              <w:top w:val="single" w:color="000000" w:sz="6" w:space="0"/>
              <w:left w:val="single" w:color="000000" w:sz="6" w:space="0"/>
              <w:right w:val="single" w:color="000000" w:sz="4" w:space="0"/>
            </w:tcBorders>
            <w:noWrap w:val="0"/>
            <w:vAlign w:val="top"/>
          </w:tcPr>
          <w:p>
            <w:pPr>
              <w:pStyle w:val="11"/>
              <w:spacing w:before="88" w:line="252" w:lineRule="exact"/>
              <w:ind w:left="115"/>
              <w:rPr>
                <w:sz w:val="20"/>
              </w:rPr>
            </w:pPr>
            <w:r>
              <w:rPr>
                <w:sz w:val="20"/>
              </w:rPr>
              <w:t>□是</w:t>
            </w:r>
          </w:p>
        </w:tc>
        <w:tc>
          <w:tcPr>
            <w:tcW w:w="4097" w:type="dxa"/>
            <w:gridSpan w:val="5"/>
            <w:tcBorders>
              <w:top w:val="single" w:color="000000" w:sz="6" w:space="0"/>
              <w:left w:val="single" w:color="000000" w:sz="4" w:space="0"/>
              <w:right w:val="single" w:color="000000" w:sz="6" w:space="0"/>
            </w:tcBorders>
            <w:noWrap w:val="0"/>
            <w:vAlign w:val="top"/>
          </w:tcPr>
          <w:p>
            <w:pPr>
              <w:pStyle w:val="11"/>
              <w:spacing w:before="88" w:line="252" w:lineRule="exact"/>
              <w:ind w:left="117"/>
              <w:rPr>
                <w:sz w:val="20"/>
              </w:rPr>
            </w:pPr>
            <w:r>
              <w:rPr>
                <w:sz w:val="20"/>
              </w:rPr>
              <w:t>223 债务重组所得递延纳税年度</w:t>
            </w:r>
          </w:p>
        </w:tc>
        <w:tc>
          <w:tcPr>
            <w:tcW w:w="941" w:type="dxa"/>
            <w:tcBorders>
              <w:top w:val="single" w:color="000000" w:sz="6" w:space="0"/>
              <w:left w:val="single" w:color="000000" w:sz="6" w:space="0"/>
            </w:tcBorders>
            <w:noWrap w:val="0"/>
            <w:vAlign w:val="top"/>
          </w:tcPr>
          <w:p>
            <w:pPr>
              <w:pStyle w:val="11"/>
              <w:spacing w:before="88" w:line="252" w:lineRule="exact"/>
              <w:ind w:left="115"/>
              <w:rPr>
                <w:sz w:val="20"/>
              </w:rPr>
            </w:pPr>
            <w:r>
              <w:rPr>
                <w:sz w:val="20"/>
              </w:rPr>
              <w:t>□是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5" w:hRule="atLeast"/>
          <w:jc w:val="center"/>
        </w:trPr>
        <w:tc>
          <w:tcPr>
            <w:tcW w:w="9819" w:type="dxa"/>
            <w:gridSpan w:val="14"/>
            <w:tcBorders>
              <w:bottom w:val="single" w:color="000000" w:sz="6" w:space="0"/>
            </w:tcBorders>
            <w:noWrap w:val="0"/>
            <w:vAlign w:val="top"/>
          </w:tcPr>
          <w:p>
            <w:pPr>
              <w:pStyle w:val="11"/>
              <w:spacing w:before="63"/>
              <w:ind w:left="3150" w:right="3111"/>
              <w:jc w:val="center"/>
              <w:rPr>
                <w:b/>
                <w:sz w:val="20"/>
              </w:rPr>
            </w:pPr>
            <w:r>
              <w:rPr>
                <w:b/>
                <w:sz w:val="20"/>
              </w:rPr>
              <w:t>主要股东及分红情况（必填项目）</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spacing w:before="113"/>
              <w:ind w:left="721"/>
              <w:rPr>
                <w:sz w:val="20"/>
              </w:rPr>
            </w:pPr>
            <w:r>
              <w:rPr>
                <w:sz w:val="20"/>
              </w:rPr>
              <w:t>股东名称</w:t>
            </w: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3"/>
              <w:ind w:left="103" w:right="79"/>
              <w:jc w:val="center"/>
              <w:rPr>
                <w:sz w:val="20"/>
              </w:rPr>
            </w:pPr>
            <w:r>
              <w:rPr>
                <w:sz w:val="20"/>
              </w:rPr>
              <w:t>证件种类</w:t>
            </w: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spacing w:before="113"/>
              <w:ind w:left="629"/>
              <w:rPr>
                <w:sz w:val="20"/>
              </w:rPr>
            </w:pPr>
            <w:r>
              <w:rPr>
                <w:sz w:val="20"/>
              </w:rPr>
              <w:t>证件号码</w:t>
            </w: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41" w:lineRule="exact"/>
              <w:ind w:left="149" w:right="123"/>
              <w:jc w:val="center"/>
              <w:rPr>
                <w:sz w:val="20"/>
              </w:rPr>
            </w:pPr>
            <w:r>
              <w:rPr>
                <w:sz w:val="20"/>
              </w:rPr>
              <w:t>投资比例</w:t>
            </w:r>
          </w:p>
          <w:p>
            <w:pPr>
              <w:pStyle w:val="11"/>
              <w:spacing w:line="219" w:lineRule="exact"/>
              <w:ind w:left="149" w:right="121"/>
              <w:jc w:val="center"/>
              <w:rPr>
                <w:sz w:val="20"/>
              </w:rPr>
            </w:pPr>
            <w:r>
              <w:rPr>
                <w:sz w:val="20"/>
              </w:rPr>
              <w:t>（%）</w:t>
            </w: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spacing w:before="1" w:line="240" w:lineRule="exact"/>
              <w:ind w:left="828" w:right="98" w:hanging="701"/>
              <w:rPr>
                <w:sz w:val="20"/>
              </w:rPr>
            </w:pPr>
            <w:r>
              <w:rPr>
                <w:sz w:val="20"/>
              </w:rPr>
              <w:t>当年（决议日）分配的股息、红利等权益性投资收益金额</w:t>
            </w:r>
          </w:p>
        </w:tc>
        <w:tc>
          <w:tcPr>
            <w:tcW w:w="941" w:type="dxa"/>
            <w:tcBorders>
              <w:top w:val="single" w:color="000000" w:sz="6" w:space="0"/>
              <w:left w:val="single" w:color="000000" w:sz="6" w:space="0"/>
              <w:bottom w:val="single" w:color="000000" w:sz="6" w:space="0"/>
            </w:tcBorders>
            <w:noWrap w:val="0"/>
            <w:vAlign w:val="top"/>
          </w:tcPr>
          <w:p>
            <w:pPr>
              <w:pStyle w:val="11"/>
              <w:spacing w:before="1" w:line="240" w:lineRule="exact"/>
              <w:ind w:left="131" w:right="94"/>
              <w:rPr>
                <w:sz w:val="20"/>
              </w:rPr>
            </w:pPr>
            <w:r>
              <w:rPr>
                <w:sz w:val="20"/>
              </w:rPr>
              <w:t>国籍（注册地址）</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9"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jc w:val="center"/>
        </w:trPr>
        <w:tc>
          <w:tcPr>
            <w:tcW w:w="2015" w:type="dxa"/>
            <w:gridSpan w:val="3"/>
            <w:tcBorders>
              <w:top w:val="single" w:color="000000" w:sz="6" w:space="0"/>
              <w:bottom w:val="single" w:color="000000" w:sz="6" w:space="0"/>
              <w:right w:val="single" w:color="000000" w:sz="6" w:space="0"/>
            </w:tcBorders>
            <w:noWrap w:val="0"/>
            <w:vAlign w:val="top"/>
          </w:tcPr>
          <w:p>
            <w:pPr>
              <w:pStyle w:val="11"/>
              <w:rPr>
                <w:rFonts w:ascii="Times New Roman"/>
                <w:sz w:val="20"/>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83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9" w:hRule="atLeast"/>
          <w:jc w:val="center"/>
        </w:trPr>
        <w:tc>
          <w:tcPr>
            <w:tcW w:w="2015" w:type="dxa"/>
            <w:gridSpan w:val="3"/>
            <w:tcBorders>
              <w:top w:val="single" w:color="000000" w:sz="6" w:space="0"/>
              <w:right w:val="single" w:color="000000" w:sz="6" w:space="0"/>
            </w:tcBorders>
            <w:noWrap w:val="0"/>
            <w:vAlign w:val="top"/>
          </w:tcPr>
          <w:p>
            <w:pPr>
              <w:pStyle w:val="11"/>
              <w:spacing w:before="87" w:line="252" w:lineRule="exact"/>
              <w:ind w:left="522"/>
              <w:rPr>
                <w:sz w:val="20"/>
              </w:rPr>
            </w:pPr>
            <w:r>
              <w:rPr>
                <w:sz w:val="20"/>
              </w:rPr>
              <w:t>其余股东合计</w:t>
            </w:r>
          </w:p>
        </w:tc>
        <w:tc>
          <w:tcPr>
            <w:tcW w:w="929" w:type="dxa"/>
            <w:tcBorders>
              <w:top w:val="single" w:color="000000" w:sz="6" w:space="0"/>
              <w:left w:val="single" w:color="000000" w:sz="6" w:space="0"/>
              <w:right w:val="single" w:color="000000" w:sz="6" w:space="0"/>
            </w:tcBorders>
            <w:noWrap w:val="0"/>
            <w:vAlign w:val="top"/>
          </w:tcPr>
          <w:p>
            <w:pPr>
              <w:pStyle w:val="11"/>
              <w:spacing w:before="87" w:line="252" w:lineRule="exact"/>
              <w:ind w:left="103" w:right="77"/>
              <w:jc w:val="center"/>
              <w:rPr>
                <w:sz w:val="20"/>
              </w:rPr>
            </w:pPr>
            <w:r>
              <w:rPr>
                <w:sz w:val="20"/>
              </w:rPr>
              <w:t>——</w:t>
            </w:r>
          </w:p>
        </w:tc>
        <w:tc>
          <w:tcPr>
            <w:tcW w:w="1837" w:type="dxa"/>
            <w:gridSpan w:val="4"/>
            <w:tcBorders>
              <w:top w:val="single" w:color="000000" w:sz="6" w:space="0"/>
              <w:left w:val="single" w:color="000000" w:sz="6" w:space="0"/>
              <w:right w:val="single" w:color="000000" w:sz="6" w:space="0"/>
            </w:tcBorders>
            <w:noWrap w:val="0"/>
            <w:vAlign w:val="top"/>
          </w:tcPr>
          <w:p>
            <w:pPr>
              <w:pStyle w:val="11"/>
              <w:spacing w:before="87" w:line="252" w:lineRule="exact"/>
              <w:ind w:left="810" w:right="783"/>
              <w:jc w:val="center"/>
              <w:rPr>
                <w:sz w:val="20"/>
              </w:rPr>
            </w:pPr>
            <w:r>
              <w:rPr>
                <w:sz w:val="20"/>
              </w:rPr>
              <w:t>——</w:t>
            </w:r>
          </w:p>
        </w:tc>
        <w:tc>
          <w:tcPr>
            <w:tcW w:w="1011" w:type="dxa"/>
            <w:tcBorders>
              <w:top w:val="single" w:color="000000" w:sz="6" w:space="0"/>
              <w:left w:val="single" w:color="000000" w:sz="6" w:space="0"/>
              <w:right w:val="single" w:color="000000" w:sz="6" w:space="0"/>
            </w:tcBorders>
            <w:noWrap w:val="0"/>
            <w:vAlign w:val="top"/>
          </w:tcPr>
          <w:p>
            <w:pPr>
              <w:pStyle w:val="11"/>
              <w:rPr>
                <w:rFonts w:ascii="Times New Roman"/>
                <w:sz w:val="20"/>
              </w:rPr>
            </w:pPr>
          </w:p>
        </w:tc>
        <w:tc>
          <w:tcPr>
            <w:tcW w:w="3086" w:type="dxa"/>
            <w:gridSpan w:val="4"/>
            <w:tcBorders>
              <w:top w:val="single" w:color="000000" w:sz="6" w:space="0"/>
              <w:left w:val="single" w:color="000000" w:sz="6" w:space="0"/>
              <w:right w:val="single" w:color="000000" w:sz="6" w:space="0"/>
            </w:tcBorders>
            <w:noWrap w:val="0"/>
            <w:vAlign w:val="top"/>
          </w:tcPr>
          <w:p>
            <w:pPr>
              <w:pStyle w:val="11"/>
              <w:rPr>
                <w:rFonts w:ascii="Times New Roman"/>
                <w:sz w:val="20"/>
              </w:rPr>
            </w:pPr>
          </w:p>
        </w:tc>
        <w:tc>
          <w:tcPr>
            <w:tcW w:w="941" w:type="dxa"/>
            <w:tcBorders>
              <w:top w:val="single" w:color="000000" w:sz="6" w:space="0"/>
              <w:left w:val="single" w:color="000000" w:sz="6" w:space="0"/>
            </w:tcBorders>
            <w:noWrap w:val="0"/>
            <w:vAlign w:val="top"/>
          </w:tcPr>
          <w:p>
            <w:pPr>
              <w:pStyle w:val="11"/>
              <w:spacing w:before="87" w:line="252" w:lineRule="exact"/>
              <w:ind w:left="331"/>
              <w:rPr>
                <w:sz w:val="20"/>
              </w:rPr>
            </w:pPr>
            <w:r>
              <w:rPr>
                <w:sz w:val="20"/>
              </w:rPr>
              <w:t>——</w:t>
            </w:r>
          </w:p>
        </w:tc>
      </w:tr>
    </w:tbl>
    <w:p>
      <w:pPr>
        <w:pStyle w:val="4"/>
        <w:bidi w:val="0"/>
        <w:rPr>
          <w:rFonts w:hint="eastAsia"/>
        </w:rPr>
      </w:pPr>
      <w:r>
        <w:rPr>
          <w:rFonts w:hint="eastAsia"/>
        </w:rPr>
        <w:t>A000000 《企业所得税年度纳税申报基础信息表》填报说明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纳税人在企业所得税年度纳税申报时应当向税务机关申报或者报告与确定应纳税额相关的信息。本表包括基本经营情况、有关涉税事项情况、主要股东及分红情况三部分内容。有关项目填报说明如下：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bCs/>
          <w:sz w:val="21"/>
          <w:szCs w:val="21"/>
        </w:rPr>
      </w:pPr>
      <w:bookmarkStart w:id="1" w:name="一、基本经营情况"/>
      <w:bookmarkEnd w:id="1"/>
      <w:r>
        <w:rPr>
          <w:rFonts w:hint="eastAsia" w:ascii="微软雅黑" w:hAnsi="微软雅黑" w:eastAsia="微软雅黑" w:cs="微软雅黑"/>
          <w:b/>
          <w:bCs/>
          <w:sz w:val="21"/>
          <w:szCs w:val="21"/>
        </w:rPr>
        <w:t>一、基本经营情况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本部分所列项目为纳税人必填（必选）内容。</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101 纳税申报企业类型</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：纳税人根据申报所属期年度的企业经营方式情况， 从《跨地区经营企业类型代码表》中选择相应的代码填入本项。</w:t>
      </w:r>
    </w:p>
    <w:p>
      <w:pPr>
        <w:bidi w:val="0"/>
        <w:jc w:val="center"/>
        <w:rPr>
          <w:b/>
          <w:bCs/>
        </w:rPr>
      </w:pPr>
      <w:r>
        <w:rPr>
          <w:b/>
          <w:bCs/>
        </w:rPr>
        <w:t>跨地区经营企业类型代码表</w:t>
      </w:r>
    </w:p>
    <w:tbl>
      <w:tblPr>
        <w:tblStyle w:val="8"/>
        <w:tblW w:w="9182"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53"/>
        <w:gridCol w:w="1670"/>
        <w:gridCol w:w="2499"/>
        <w:gridCol w:w="436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jc w:val="center"/>
        </w:trPr>
        <w:tc>
          <w:tcPr>
            <w:tcW w:w="653" w:type="dxa"/>
            <w:vMerge w:val="restart"/>
            <w:tcBorders>
              <w:bottom w:val="single" w:color="000000" w:sz="6" w:space="0"/>
              <w:right w:val="single" w:color="000000" w:sz="6" w:space="0"/>
            </w:tcBorders>
            <w:noWrap w:val="0"/>
            <w:vAlign w:val="top"/>
          </w:tcPr>
          <w:p>
            <w:pPr>
              <w:pStyle w:val="11"/>
              <w:spacing w:before="151"/>
              <w:ind w:left="124"/>
              <w:rPr>
                <w:b/>
                <w:sz w:val="20"/>
              </w:rPr>
            </w:pPr>
            <w:r>
              <w:rPr>
                <w:b/>
                <w:sz w:val="20"/>
              </w:rPr>
              <w:t>代码</w:t>
            </w:r>
          </w:p>
        </w:tc>
        <w:tc>
          <w:tcPr>
            <w:tcW w:w="8529" w:type="dxa"/>
            <w:gridSpan w:val="3"/>
            <w:tcBorders>
              <w:left w:val="single" w:color="000000" w:sz="6" w:space="0"/>
              <w:bottom w:val="single" w:color="000000" w:sz="6" w:space="0"/>
            </w:tcBorders>
            <w:noWrap w:val="0"/>
            <w:vAlign w:val="top"/>
          </w:tcPr>
          <w:p>
            <w:pPr>
              <w:pStyle w:val="11"/>
              <w:spacing w:before="14" w:line="251" w:lineRule="exact"/>
              <w:ind w:left="4049" w:right="4015"/>
              <w:jc w:val="center"/>
              <w:rPr>
                <w:b/>
                <w:sz w:val="20"/>
              </w:rPr>
            </w:pPr>
            <w:r>
              <w:rPr>
                <w:b/>
                <w:sz w:val="20"/>
              </w:rPr>
              <w:t>类型</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8" w:hRule="atLeast"/>
          <w:jc w:val="center"/>
        </w:trPr>
        <w:tc>
          <w:tcPr>
            <w:tcW w:w="653" w:type="dxa"/>
            <w:vMerge w:val="continue"/>
            <w:tcBorders>
              <w:top w:val="nil"/>
              <w:bottom w:val="single" w:color="000000" w:sz="6" w:space="0"/>
              <w:right w:val="single" w:color="000000" w:sz="6" w:space="0"/>
            </w:tcBorders>
            <w:noWrap w:val="0"/>
            <w:vAlign w:val="top"/>
          </w:tcPr>
          <w:p>
            <w:pPr>
              <w:rPr>
                <w:sz w:val="2"/>
                <w:szCs w:val="2"/>
              </w:rPr>
            </w:pPr>
          </w:p>
        </w:tc>
        <w:tc>
          <w:tcPr>
            <w:tcW w:w="167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37" w:lineRule="exact"/>
              <w:ind w:left="619" w:right="593"/>
              <w:jc w:val="center"/>
              <w:rPr>
                <w:b/>
                <w:sz w:val="20"/>
              </w:rPr>
            </w:pPr>
            <w:r>
              <w:rPr>
                <w:b/>
                <w:sz w:val="20"/>
              </w:rPr>
              <w:t>大类</w:t>
            </w:r>
          </w:p>
        </w:tc>
        <w:tc>
          <w:tcPr>
            <w:tcW w:w="2499"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37" w:lineRule="exact"/>
              <w:ind w:left="1035" w:right="1006"/>
              <w:jc w:val="center"/>
              <w:rPr>
                <w:b/>
                <w:sz w:val="20"/>
              </w:rPr>
            </w:pPr>
            <w:r>
              <w:rPr>
                <w:b/>
                <w:sz w:val="20"/>
              </w:rPr>
              <w:t>中类</w:t>
            </w:r>
          </w:p>
        </w:tc>
        <w:tc>
          <w:tcPr>
            <w:tcW w:w="4360" w:type="dxa"/>
            <w:tcBorders>
              <w:top w:val="single" w:color="000000" w:sz="6" w:space="0"/>
              <w:left w:val="single" w:color="000000" w:sz="6" w:space="0"/>
              <w:bottom w:val="single" w:color="000000" w:sz="6" w:space="0"/>
            </w:tcBorders>
            <w:noWrap w:val="0"/>
            <w:vAlign w:val="top"/>
          </w:tcPr>
          <w:p>
            <w:pPr>
              <w:pStyle w:val="11"/>
              <w:spacing w:before="2" w:line="237" w:lineRule="exact"/>
              <w:ind w:left="38" w:right="2"/>
              <w:jc w:val="center"/>
              <w:rPr>
                <w:b/>
                <w:sz w:val="20"/>
              </w:rPr>
            </w:pPr>
            <w:r>
              <w:rPr>
                <w:b/>
                <w:sz w:val="20"/>
              </w:rPr>
              <w:t>小类</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653" w:type="dxa"/>
            <w:tcBorders>
              <w:top w:val="single" w:color="000000" w:sz="6" w:space="0"/>
              <w:bottom w:val="single" w:color="000000" w:sz="6" w:space="0"/>
              <w:right w:val="single" w:color="000000" w:sz="6" w:space="0"/>
            </w:tcBorders>
            <w:noWrap w:val="0"/>
            <w:vAlign w:val="top"/>
          </w:tcPr>
          <w:p>
            <w:pPr>
              <w:pStyle w:val="11"/>
              <w:spacing w:before="42"/>
              <w:ind w:left="155" w:right="135"/>
              <w:jc w:val="center"/>
              <w:rPr>
                <w:sz w:val="20"/>
              </w:rPr>
            </w:pPr>
            <w:r>
              <w:rPr>
                <w:sz w:val="20"/>
              </w:rPr>
              <w:t>100</w:t>
            </w:r>
          </w:p>
        </w:tc>
        <w:tc>
          <w:tcPr>
            <w:tcW w:w="8529" w:type="dxa"/>
            <w:gridSpan w:val="3"/>
            <w:tcBorders>
              <w:top w:val="single" w:color="000000" w:sz="6" w:space="0"/>
              <w:left w:val="single" w:color="000000" w:sz="6" w:space="0"/>
              <w:bottom w:val="single" w:color="000000" w:sz="6" w:space="0"/>
            </w:tcBorders>
            <w:noWrap w:val="0"/>
            <w:vAlign w:val="top"/>
          </w:tcPr>
          <w:p>
            <w:pPr>
              <w:pStyle w:val="11"/>
              <w:spacing w:before="42"/>
              <w:ind w:left="115"/>
              <w:rPr>
                <w:sz w:val="20"/>
              </w:rPr>
            </w:pPr>
            <w:r>
              <w:rPr>
                <w:sz w:val="20"/>
              </w:rPr>
              <w:t>非跨地区经营企业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653" w:type="dxa"/>
            <w:tcBorders>
              <w:top w:val="single" w:color="000000" w:sz="6" w:space="0"/>
              <w:bottom w:val="single" w:color="000000" w:sz="6" w:space="0"/>
              <w:right w:val="single" w:color="000000" w:sz="6" w:space="0"/>
            </w:tcBorders>
            <w:noWrap w:val="0"/>
            <w:vAlign w:val="top"/>
          </w:tcPr>
          <w:p>
            <w:pPr>
              <w:pStyle w:val="11"/>
              <w:spacing w:before="42"/>
              <w:ind w:left="155" w:right="135"/>
              <w:jc w:val="center"/>
              <w:rPr>
                <w:sz w:val="20"/>
              </w:rPr>
            </w:pPr>
            <w:r>
              <w:rPr>
                <w:sz w:val="20"/>
              </w:rPr>
              <w:t>210</w:t>
            </w:r>
          </w:p>
        </w:tc>
        <w:tc>
          <w:tcPr>
            <w:tcW w:w="1670"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spacing w:before="12"/>
              <w:rPr>
                <w:b/>
                <w:sz w:val="20"/>
              </w:rPr>
            </w:pPr>
          </w:p>
          <w:p>
            <w:pPr>
              <w:pStyle w:val="11"/>
              <w:ind w:left="115" w:right="138"/>
              <w:rPr>
                <w:sz w:val="20"/>
              </w:rPr>
            </w:pPr>
            <w:r>
              <w:rPr>
                <w:sz w:val="20"/>
              </w:rPr>
              <w:t>跨地区经营企业总机构</w:t>
            </w:r>
          </w:p>
        </w:tc>
        <w:tc>
          <w:tcPr>
            <w:tcW w:w="6859" w:type="dxa"/>
            <w:gridSpan w:val="2"/>
            <w:tcBorders>
              <w:top w:val="single" w:color="000000" w:sz="6" w:space="0"/>
              <w:left w:val="single" w:color="000000" w:sz="6" w:space="0"/>
              <w:bottom w:val="single" w:color="000000" w:sz="6" w:space="0"/>
            </w:tcBorders>
            <w:noWrap w:val="0"/>
            <w:vAlign w:val="top"/>
          </w:tcPr>
          <w:p>
            <w:pPr>
              <w:pStyle w:val="11"/>
              <w:spacing w:before="42"/>
              <w:ind w:left="115"/>
              <w:rPr>
                <w:sz w:val="20"/>
              </w:rPr>
            </w:pPr>
            <w:r>
              <w:rPr>
                <w:sz w:val="20"/>
              </w:rPr>
              <w:t>总机构（跨省）——适用《跨地区经营汇总纳税企业所得税征收管理办法》</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653" w:type="dxa"/>
            <w:tcBorders>
              <w:top w:val="single" w:color="000000" w:sz="6" w:space="0"/>
              <w:bottom w:val="single" w:color="000000" w:sz="6" w:space="0"/>
              <w:right w:val="single" w:color="000000" w:sz="6" w:space="0"/>
            </w:tcBorders>
            <w:noWrap w:val="0"/>
            <w:vAlign w:val="top"/>
          </w:tcPr>
          <w:p>
            <w:pPr>
              <w:pStyle w:val="11"/>
              <w:spacing w:before="43"/>
              <w:ind w:left="155" w:right="135"/>
              <w:jc w:val="center"/>
              <w:rPr>
                <w:sz w:val="20"/>
              </w:rPr>
            </w:pPr>
            <w:r>
              <w:rPr>
                <w:sz w:val="20"/>
              </w:rPr>
              <w:t>220</w:t>
            </w:r>
          </w:p>
        </w:tc>
        <w:tc>
          <w:tcPr>
            <w:tcW w:w="1670"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859" w:type="dxa"/>
            <w:gridSpan w:val="2"/>
            <w:tcBorders>
              <w:top w:val="single" w:color="000000" w:sz="6" w:space="0"/>
              <w:left w:val="single" w:color="000000" w:sz="6" w:space="0"/>
              <w:bottom w:val="single" w:color="000000" w:sz="6" w:space="0"/>
            </w:tcBorders>
            <w:noWrap w:val="0"/>
            <w:vAlign w:val="top"/>
          </w:tcPr>
          <w:p>
            <w:pPr>
              <w:pStyle w:val="11"/>
              <w:spacing w:before="43"/>
              <w:ind w:left="115" w:right="-29"/>
              <w:rPr>
                <w:sz w:val="20"/>
              </w:rPr>
            </w:pPr>
            <w:r>
              <w:rPr>
                <w:spacing w:val="-7"/>
                <w:sz w:val="20"/>
              </w:rPr>
              <w:t>总机构</w:t>
            </w:r>
            <w:r>
              <w:rPr>
                <w:sz w:val="20"/>
              </w:rPr>
              <w:t>（跨省</w:t>
            </w:r>
            <w:r>
              <w:rPr>
                <w:spacing w:val="-6"/>
                <w:sz w:val="20"/>
              </w:rPr>
              <w:t>）——不适用《跨地区经营汇总纳税企业所得税征收管理办法》</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653" w:type="dxa"/>
            <w:tcBorders>
              <w:top w:val="single" w:color="000000" w:sz="6" w:space="0"/>
              <w:bottom w:val="single" w:color="000000" w:sz="6" w:space="0"/>
              <w:right w:val="single" w:color="000000" w:sz="6" w:space="0"/>
            </w:tcBorders>
            <w:noWrap w:val="0"/>
            <w:vAlign w:val="top"/>
          </w:tcPr>
          <w:p>
            <w:pPr>
              <w:pStyle w:val="11"/>
              <w:spacing w:before="43"/>
              <w:ind w:left="155" w:right="135"/>
              <w:jc w:val="center"/>
              <w:rPr>
                <w:sz w:val="20"/>
              </w:rPr>
            </w:pPr>
            <w:r>
              <w:rPr>
                <w:sz w:val="20"/>
              </w:rPr>
              <w:t>230</w:t>
            </w:r>
          </w:p>
        </w:tc>
        <w:tc>
          <w:tcPr>
            <w:tcW w:w="1670"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859" w:type="dxa"/>
            <w:gridSpan w:val="2"/>
            <w:tcBorders>
              <w:top w:val="single" w:color="000000" w:sz="6" w:space="0"/>
              <w:left w:val="single" w:color="000000" w:sz="6" w:space="0"/>
              <w:bottom w:val="single" w:color="000000" w:sz="6" w:space="0"/>
            </w:tcBorders>
            <w:noWrap w:val="0"/>
            <w:vAlign w:val="top"/>
          </w:tcPr>
          <w:p>
            <w:pPr>
              <w:pStyle w:val="11"/>
              <w:spacing w:before="43"/>
              <w:ind w:left="115"/>
              <w:rPr>
                <w:sz w:val="20"/>
              </w:rPr>
            </w:pPr>
            <w:r>
              <w:rPr>
                <w:sz w:val="20"/>
              </w:rPr>
              <w:t>总机构（省内）</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2" w:hRule="atLeast"/>
          <w:jc w:val="center"/>
        </w:trPr>
        <w:tc>
          <w:tcPr>
            <w:tcW w:w="653" w:type="dxa"/>
            <w:tcBorders>
              <w:top w:val="single" w:color="000000" w:sz="6" w:space="0"/>
              <w:bottom w:val="single" w:color="000000" w:sz="6" w:space="0"/>
              <w:right w:val="single" w:color="000000" w:sz="6" w:space="0"/>
            </w:tcBorders>
            <w:noWrap w:val="0"/>
            <w:vAlign w:val="top"/>
          </w:tcPr>
          <w:p>
            <w:pPr>
              <w:pStyle w:val="11"/>
              <w:spacing w:before="43"/>
              <w:ind w:left="155" w:right="135"/>
              <w:jc w:val="center"/>
              <w:rPr>
                <w:sz w:val="20"/>
              </w:rPr>
            </w:pPr>
            <w:r>
              <w:rPr>
                <w:sz w:val="20"/>
              </w:rPr>
              <w:t>311</w:t>
            </w:r>
          </w:p>
        </w:tc>
        <w:tc>
          <w:tcPr>
            <w:tcW w:w="1670" w:type="dxa"/>
            <w:vMerge w:val="restart"/>
            <w:tcBorders>
              <w:top w:val="single" w:color="000000" w:sz="6" w:space="0"/>
              <w:left w:val="single" w:color="000000" w:sz="6" w:space="0"/>
              <w:right w:val="single" w:color="000000" w:sz="6" w:space="0"/>
            </w:tcBorders>
            <w:noWrap w:val="0"/>
            <w:vAlign w:val="top"/>
          </w:tcPr>
          <w:p>
            <w:pPr>
              <w:pStyle w:val="11"/>
              <w:spacing w:before="91"/>
              <w:ind w:left="115" w:right="138"/>
              <w:rPr>
                <w:sz w:val="20"/>
              </w:rPr>
            </w:pPr>
            <w:r>
              <w:rPr>
                <w:sz w:val="20"/>
              </w:rPr>
              <w:t>跨地区经营企业分支机构</w:t>
            </w:r>
          </w:p>
        </w:tc>
        <w:tc>
          <w:tcPr>
            <w:tcW w:w="2499" w:type="dxa"/>
            <w:vMerge w:val="restart"/>
            <w:tcBorders>
              <w:top w:val="single" w:color="000000" w:sz="6" w:space="0"/>
              <w:left w:val="single" w:color="000000" w:sz="6" w:space="0"/>
              <w:right w:val="single" w:color="000000" w:sz="6" w:space="0"/>
            </w:tcBorders>
            <w:noWrap w:val="0"/>
            <w:vAlign w:val="top"/>
          </w:tcPr>
          <w:p>
            <w:pPr>
              <w:pStyle w:val="11"/>
              <w:rPr>
                <w:b/>
                <w:sz w:val="17"/>
              </w:rPr>
            </w:pPr>
          </w:p>
          <w:p>
            <w:pPr>
              <w:pStyle w:val="11"/>
              <w:ind w:left="115"/>
              <w:rPr>
                <w:sz w:val="20"/>
              </w:rPr>
            </w:pPr>
            <w:r>
              <w:rPr>
                <w:sz w:val="20"/>
              </w:rPr>
              <w:t>需进行完整年度纳税申报</w:t>
            </w:r>
          </w:p>
        </w:tc>
        <w:tc>
          <w:tcPr>
            <w:tcW w:w="4360" w:type="dxa"/>
            <w:tcBorders>
              <w:top w:val="single" w:color="000000" w:sz="6" w:space="0"/>
              <w:left w:val="single" w:color="000000" w:sz="6" w:space="0"/>
              <w:bottom w:val="single" w:color="000000" w:sz="6" w:space="0"/>
            </w:tcBorders>
            <w:noWrap w:val="0"/>
            <w:vAlign w:val="top"/>
          </w:tcPr>
          <w:p>
            <w:pPr>
              <w:pStyle w:val="11"/>
              <w:spacing w:before="43"/>
              <w:ind w:left="94" w:right="2"/>
              <w:jc w:val="center"/>
              <w:rPr>
                <w:sz w:val="20"/>
              </w:rPr>
            </w:pPr>
            <w:r>
              <w:rPr>
                <w:sz w:val="20"/>
              </w:rPr>
              <w:t>分支机构（须进行完整年度申报并按比例纳税）</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2" w:hRule="atLeast"/>
          <w:jc w:val="center"/>
        </w:trPr>
        <w:tc>
          <w:tcPr>
            <w:tcW w:w="653" w:type="dxa"/>
            <w:tcBorders>
              <w:top w:val="single" w:color="000000" w:sz="6" w:space="0"/>
              <w:right w:val="single" w:color="000000" w:sz="6" w:space="0"/>
            </w:tcBorders>
            <w:noWrap w:val="0"/>
            <w:vAlign w:val="top"/>
          </w:tcPr>
          <w:p>
            <w:pPr>
              <w:pStyle w:val="11"/>
              <w:spacing w:before="33"/>
              <w:ind w:left="155" w:right="135"/>
              <w:jc w:val="center"/>
              <w:rPr>
                <w:sz w:val="20"/>
              </w:rPr>
            </w:pPr>
            <w:r>
              <w:rPr>
                <w:sz w:val="20"/>
              </w:rPr>
              <w:t>312</w:t>
            </w:r>
          </w:p>
        </w:tc>
        <w:tc>
          <w:tcPr>
            <w:tcW w:w="1670" w:type="dxa"/>
            <w:vMerge w:val="continue"/>
            <w:tcBorders>
              <w:top w:val="nil"/>
              <w:left w:val="single" w:color="000000" w:sz="6" w:space="0"/>
              <w:right w:val="single" w:color="000000" w:sz="6" w:space="0"/>
            </w:tcBorders>
            <w:noWrap w:val="0"/>
            <w:vAlign w:val="top"/>
          </w:tcPr>
          <w:p>
            <w:pPr>
              <w:rPr>
                <w:sz w:val="2"/>
                <w:szCs w:val="2"/>
              </w:rPr>
            </w:pPr>
          </w:p>
        </w:tc>
        <w:tc>
          <w:tcPr>
            <w:tcW w:w="2499" w:type="dxa"/>
            <w:vMerge w:val="continue"/>
            <w:tcBorders>
              <w:top w:val="nil"/>
              <w:left w:val="single" w:color="000000" w:sz="6" w:space="0"/>
              <w:right w:val="single" w:color="000000" w:sz="6" w:space="0"/>
            </w:tcBorders>
            <w:noWrap w:val="0"/>
            <w:vAlign w:val="top"/>
          </w:tcPr>
          <w:p>
            <w:pPr>
              <w:rPr>
                <w:sz w:val="2"/>
                <w:szCs w:val="2"/>
              </w:rPr>
            </w:pPr>
          </w:p>
        </w:tc>
        <w:tc>
          <w:tcPr>
            <w:tcW w:w="4360" w:type="dxa"/>
            <w:tcBorders>
              <w:top w:val="single" w:color="000000" w:sz="6" w:space="0"/>
              <w:left w:val="single" w:color="000000" w:sz="6" w:space="0"/>
            </w:tcBorders>
            <w:noWrap w:val="0"/>
            <w:vAlign w:val="top"/>
          </w:tcPr>
          <w:p>
            <w:pPr>
              <w:pStyle w:val="11"/>
              <w:spacing w:before="33"/>
              <w:ind w:left="94" w:right="2"/>
              <w:jc w:val="center"/>
              <w:rPr>
                <w:sz w:val="20"/>
              </w:rPr>
            </w:pPr>
            <w:r>
              <w:rPr>
                <w:sz w:val="20"/>
              </w:rPr>
              <w:t>分支机构（须进行完整年度申报但不就地缴纳）</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代码说明：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100</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非跨地区经营企业</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：纳税人未跨地区设立不具有法人资格分支机构的，为非跨地区经营企业。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210</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总机构（跨省）——适用《跨地区经营汇总纳税企业所得税征收管理办法》</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 纳税人为《国家税务总局关于印发〈跨地区经营汇总纳税企业所得税征收管理办法〉的公告》（2012 年第 57 号发布，国家税务总局公告 2018 年第 31 号修改）规定的跨省、自治区、直辖市和计划单列市设立不具有法人资格分支机构的跨地区经营汇总纳税企业的总机构。</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220</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总机构（跨省）——不适用《跨地区经营汇总纳税企业所得税征收管理办法》</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：纳税人为《国家税务总局关于印发〈跨地区经营汇总纳税企业所得税征收管理办法〉的公告》（2012 年第 57 号发布，国家税务总局公告 2018 年第 31 号修改）第二条规定的不适用该公告的跨地区经营汇总纳税企业的总机构。</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230</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总机构（省内）</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：纳税人为仅在同一省、自治区、直辖市和计划单列市内设立不具有法人资格分支机构的跨地区经营汇总纳税企业的总机构。</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311</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分支机构（须进行完整年度申报并按比例纳税）</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：纳税人为根据相关政策规定须进行完整年度申报并按比例就地缴纳企业所得税的跨地区经营企业的分支机构。</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312</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分支机构（须进行完整年度申报但不就地缴纳）</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：纳税人为根据相关政策规定须进行完整年度申报但不就地缴纳所得税的跨地区经营企业的分支机构</w:t>
      </w:r>
      <w:r>
        <w:rPr>
          <w:rFonts w:hint="eastAsia" w:ascii="微软雅黑" w:hAnsi="微软雅黑" w:eastAsia="微软雅黑" w:cs="微软雅黑"/>
          <w:sz w:val="21"/>
          <w:szCs w:val="21"/>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“102 分支机构就地纳税比例”：“101 纳税申报企业类型”为“分支机构（须进行完整年度申报并按比例纳税）”需要同时填报本项。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分支机构填报年度纳税申报时应当就地缴纳企业所得税的比例。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3、“103 资产总额”：纳税人填报资产总额的全年季度平均值，单位为万元，保留小数点后 2 位。具体计算公式如下：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季度平均值＝（季初值＋季末值）÷2</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全年季度平均值＝全年各季度平均值之和÷4</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年度中间开业或者终止经营活动的，以其实际经营期作为一个纳税年度确定上述相关指标。</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4、“104 从业人数”：纳税人填报从业人数的全年季度平均值，单位为人。从业人数是指与企业建立劳动关系的职工人数和企业接受的劳务派遣用工人数之和，依据和计算方法同“103 资产总额”。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5、“105 所属国民经济行业”：按照《国民经济行业分类》标准，纳税人填报所属的国民经济行业明细代码。</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6、“106 从事国家限制或禁止行业”：纳税人从事行业为国家限制和禁止行业的， 选择“是”；其他选择“否”。</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7、“107 适用会计准则或会计制度”：纳税人根据会计核算采用的会计准则或会计制度从《会计准则或会计制度类型代码表》中选择相应的代码填入本项。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8、“108 采用一般企业财务报表格式（2019 年版）”：纳税人根据《财政部关于修订印发 2019 年度一般企业财务报表格式的通知》（财会〔2019〕6 号）和《财政部关于修订印发 2018 年度金融企业财务报表格式的通知》（财会〔2018〕36 号）规定的格式编制财务报表的，选择“是”，其他选择“否”。</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9、“109 小型微利企业”：纳税人符合小型微利企业普惠性所得税减免政策条件的，选择“是”，其他选择“否”。</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10、“110 上市公司”：纳税人在中国境内上市的选择“境内”；在中国境外上市的选择“境外”；在境内外同时上市的可同时选择；其他选择“否”。纳税人在中国香港上市的，参照境外上市相关规定选择。</w:t>
      </w:r>
    </w:p>
    <w:p>
      <w:pPr>
        <w:bidi w:val="0"/>
        <w:jc w:val="center"/>
        <w:rPr>
          <w:b/>
          <w:bCs/>
        </w:rPr>
      </w:pPr>
      <w:r>
        <w:rPr>
          <w:b/>
          <w:bCs/>
        </w:rPr>
        <w:t>会计准则或会计制度类型代码表</w:t>
      </w:r>
    </w:p>
    <w:p>
      <w:pPr>
        <w:pStyle w:val="6"/>
        <w:ind w:left="0"/>
        <w:rPr>
          <w:b/>
          <w:sz w:val="12"/>
        </w:rPr>
      </w:pPr>
    </w:p>
    <w:tbl>
      <w:tblPr>
        <w:tblStyle w:val="8"/>
        <w:tblW w:w="7228" w:type="dxa"/>
        <w:tblInd w:w="201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319"/>
        <w:gridCol w:w="2801"/>
        <w:gridCol w:w="153"/>
        <w:gridCol w:w="295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trPr>
        <w:tc>
          <w:tcPr>
            <w:tcW w:w="1319" w:type="dxa"/>
            <w:vMerge w:val="restart"/>
            <w:tcBorders>
              <w:right w:val="single" w:color="000000" w:sz="6" w:space="0"/>
            </w:tcBorders>
            <w:noWrap w:val="0"/>
            <w:vAlign w:val="top"/>
          </w:tcPr>
          <w:p>
            <w:pPr>
              <w:pStyle w:val="11"/>
              <w:spacing w:before="164"/>
              <w:ind w:left="437" w:right="417"/>
              <w:jc w:val="center"/>
              <w:rPr>
                <w:b/>
                <w:sz w:val="20"/>
              </w:rPr>
            </w:pPr>
            <w:r>
              <w:rPr>
                <w:b/>
                <w:sz w:val="20"/>
              </w:rPr>
              <w:t>代码</w:t>
            </w:r>
          </w:p>
        </w:tc>
        <w:tc>
          <w:tcPr>
            <w:tcW w:w="5909" w:type="dxa"/>
            <w:gridSpan w:val="3"/>
            <w:tcBorders>
              <w:left w:val="single" w:color="000000" w:sz="6" w:space="0"/>
              <w:bottom w:val="single" w:color="000000" w:sz="6" w:space="0"/>
            </w:tcBorders>
            <w:noWrap w:val="0"/>
            <w:vAlign w:val="top"/>
          </w:tcPr>
          <w:p>
            <w:pPr>
              <w:pStyle w:val="11"/>
              <w:spacing w:before="15" w:line="243" w:lineRule="exact"/>
              <w:ind w:left="2739" w:right="2704"/>
              <w:jc w:val="center"/>
              <w:rPr>
                <w:b/>
                <w:sz w:val="20"/>
              </w:rPr>
            </w:pPr>
            <w:r>
              <w:rPr>
                <w:b/>
                <w:sz w:val="20"/>
              </w:rPr>
              <w:t>类型</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trPr>
        <w:tc>
          <w:tcPr>
            <w:tcW w:w="1319" w:type="dxa"/>
            <w:vMerge w:val="continue"/>
            <w:tcBorders>
              <w:top w:val="nil"/>
              <w:right w:val="single" w:color="000000" w:sz="6" w:space="0"/>
            </w:tcBorders>
            <w:noWrap w:val="0"/>
            <w:vAlign w:val="top"/>
          </w:tcPr>
          <w:p>
            <w:pPr>
              <w:rPr>
                <w:sz w:val="2"/>
                <w:szCs w:val="2"/>
              </w:rPr>
            </w:pPr>
          </w:p>
        </w:tc>
        <w:tc>
          <w:tcPr>
            <w:tcW w:w="2801" w:type="dxa"/>
            <w:tcBorders>
              <w:top w:val="single" w:color="000000" w:sz="6" w:space="0"/>
              <w:left w:val="single" w:color="000000" w:sz="6" w:space="0"/>
              <w:right w:val="single" w:color="000000" w:sz="6" w:space="0"/>
            </w:tcBorders>
            <w:noWrap w:val="0"/>
            <w:vAlign w:val="top"/>
          </w:tcPr>
          <w:p>
            <w:pPr>
              <w:pStyle w:val="11"/>
              <w:spacing w:before="7" w:line="250" w:lineRule="exact"/>
              <w:ind w:left="1184" w:right="1159"/>
              <w:jc w:val="center"/>
              <w:rPr>
                <w:b/>
                <w:sz w:val="20"/>
              </w:rPr>
            </w:pPr>
            <w:r>
              <w:rPr>
                <w:b/>
                <w:sz w:val="20"/>
              </w:rPr>
              <w:t>大类</w:t>
            </w:r>
          </w:p>
        </w:tc>
        <w:tc>
          <w:tcPr>
            <w:tcW w:w="3108" w:type="dxa"/>
            <w:gridSpan w:val="2"/>
            <w:tcBorders>
              <w:top w:val="single" w:color="000000" w:sz="6" w:space="0"/>
              <w:left w:val="single" w:color="000000" w:sz="6" w:space="0"/>
            </w:tcBorders>
            <w:noWrap w:val="0"/>
            <w:vAlign w:val="top"/>
          </w:tcPr>
          <w:p>
            <w:pPr>
              <w:pStyle w:val="11"/>
              <w:spacing w:before="7" w:line="250" w:lineRule="exact"/>
              <w:ind w:left="1340" w:right="1302"/>
              <w:jc w:val="center"/>
              <w:rPr>
                <w:b/>
                <w:sz w:val="20"/>
              </w:rPr>
            </w:pPr>
            <w:r>
              <w:rPr>
                <w:b/>
                <w:sz w:val="20"/>
              </w:rPr>
              <w:t>小类</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trPr>
        <w:tc>
          <w:tcPr>
            <w:tcW w:w="1319" w:type="dxa"/>
            <w:tcBorders>
              <w:bottom w:val="single" w:color="000000" w:sz="6" w:space="0"/>
              <w:right w:val="single" w:color="000000" w:sz="6" w:space="0"/>
            </w:tcBorders>
            <w:noWrap w:val="0"/>
            <w:vAlign w:val="top"/>
          </w:tcPr>
          <w:p>
            <w:pPr>
              <w:pStyle w:val="11"/>
              <w:spacing w:before="2" w:line="255" w:lineRule="exact"/>
              <w:ind w:left="437" w:right="416"/>
              <w:jc w:val="center"/>
              <w:rPr>
                <w:sz w:val="20"/>
              </w:rPr>
            </w:pPr>
            <w:r>
              <w:rPr>
                <w:sz w:val="20"/>
              </w:rPr>
              <w:t>110</w:t>
            </w:r>
          </w:p>
        </w:tc>
        <w:tc>
          <w:tcPr>
            <w:tcW w:w="2801" w:type="dxa"/>
            <w:vMerge w:val="restart"/>
            <w:tcBorders>
              <w:left w:val="single" w:color="000000" w:sz="6" w:space="0"/>
              <w:right w:val="single" w:color="000000" w:sz="6" w:space="0"/>
            </w:tcBorders>
            <w:noWrap w:val="0"/>
            <w:vAlign w:val="top"/>
          </w:tcPr>
          <w:p>
            <w:pPr>
              <w:pStyle w:val="11"/>
              <w:rPr>
                <w:b/>
                <w:sz w:val="20"/>
              </w:rPr>
            </w:pPr>
          </w:p>
          <w:p>
            <w:pPr>
              <w:pStyle w:val="11"/>
              <w:spacing w:before="7"/>
              <w:rPr>
                <w:b/>
                <w:sz w:val="27"/>
              </w:rPr>
            </w:pPr>
          </w:p>
          <w:p>
            <w:pPr>
              <w:pStyle w:val="11"/>
              <w:ind w:left="113"/>
              <w:rPr>
                <w:sz w:val="20"/>
              </w:rPr>
            </w:pPr>
            <w:r>
              <w:rPr>
                <w:sz w:val="20"/>
              </w:rPr>
              <w:t>企业会计准则</w:t>
            </w:r>
          </w:p>
        </w:tc>
        <w:tc>
          <w:tcPr>
            <w:tcW w:w="3108" w:type="dxa"/>
            <w:gridSpan w:val="2"/>
            <w:tcBorders>
              <w:left w:val="single" w:color="000000" w:sz="6" w:space="0"/>
              <w:bottom w:val="single" w:color="000000" w:sz="6" w:space="0"/>
            </w:tcBorders>
            <w:noWrap w:val="0"/>
            <w:vAlign w:val="top"/>
          </w:tcPr>
          <w:p>
            <w:pPr>
              <w:pStyle w:val="11"/>
              <w:spacing w:before="14" w:line="243" w:lineRule="exact"/>
              <w:ind w:left="115"/>
              <w:rPr>
                <w:sz w:val="20"/>
              </w:rPr>
            </w:pPr>
            <w:r>
              <w:rPr>
                <w:sz w:val="20"/>
              </w:rPr>
              <w:t>一般企业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0"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120</w:t>
            </w:r>
          </w:p>
        </w:tc>
        <w:tc>
          <w:tcPr>
            <w:tcW w:w="2801" w:type="dxa"/>
            <w:vMerge w:val="continue"/>
            <w:tcBorders>
              <w:top w:val="nil"/>
              <w:left w:val="single" w:color="000000" w:sz="6" w:space="0"/>
              <w:right w:val="single" w:color="000000" w:sz="6" w:space="0"/>
            </w:tcBorders>
            <w:noWrap w:val="0"/>
            <w:vAlign w:val="top"/>
          </w:tcPr>
          <w:p>
            <w:pPr>
              <w:rPr>
                <w:sz w:val="2"/>
                <w:szCs w:val="2"/>
              </w:rPr>
            </w:pPr>
          </w:p>
        </w:tc>
        <w:tc>
          <w:tcPr>
            <w:tcW w:w="3108" w:type="dxa"/>
            <w:gridSpan w:val="2"/>
            <w:tcBorders>
              <w:top w:val="single" w:color="000000" w:sz="6" w:space="0"/>
              <w:left w:val="single" w:color="000000" w:sz="6" w:space="0"/>
              <w:bottom w:val="single" w:color="000000" w:sz="6" w:space="0"/>
            </w:tcBorders>
            <w:noWrap w:val="0"/>
            <w:vAlign w:val="top"/>
          </w:tcPr>
          <w:p>
            <w:pPr>
              <w:pStyle w:val="11"/>
              <w:spacing w:before="6" w:line="243" w:lineRule="exact"/>
              <w:ind w:left="115"/>
              <w:rPr>
                <w:sz w:val="20"/>
              </w:rPr>
            </w:pPr>
            <w:r>
              <w:rPr>
                <w:sz w:val="20"/>
              </w:rPr>
              <w:t>银行</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270"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130</w:t>
            </w:r>
          </w:p>
        </w:tc>
        <w:tc>
          <w:tcPr>
            <w:tcW w:w="2801" w:type="dxa"/>
            <w:vMerge w:val="continue"/>
            <w:tcBorders>
              <w:top w:val="nil"/>
              <w:left w:val="single" w:color="000000" w:sz="6" w:space="0"/>
              <w:right w:val="single" w:color="000000" w:sz="6" w:space="0"/>
            </w:tcBorders>
            <w:noWrap w:val="0"/>
            <w:vAlign w:val="top"/>
          </w:tcPr>
          <w:p>
            <w:pPr>
              <w:rPr>
                <w:sz w:val="2"/>
                <w:szCs w:val="2"/>
              </w:rPr>
            </w:pPr>
          </w:p>
        </w:tc>
        <w:tc>
          <w:tcPr>
            <w:tcW w:w="3108" w:type="dxa"/>
            <w:gridSpan w:val="2"/>
            <w:tcBorders>
              <w:top w:val="single" w:color="000000" w:sz="6" w:space="0"/>
              <w:left w:val="single" w:color="000000" w:sz="6" w:space="0"/>
              <w:bottom w:val="single" w:color="000000" w:sz="6" w:space="0"/>
            </w:tcBorders>
            <w:noWrap w:val="0"/>
            <w:vAlign w:val="top"/>
          </w:tcPr>
          <w:p>
            <w:pPr>
              <w:pStyle w:val="11"/>
              <w:spacing w:before="6" w:line="243" w:lineRule="exact"/>
              <w:ind w:left="115"/>
              <w:rPr>
                <w:sz w:val="20"/>
              </w:rPr>
            </w:pPr>
            <w:r>
              <w:rPr>
                <w:sz w:val="20"/>
              </w:rPr>
              <w:t>证券</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2" w:hRule="atLeast"/>
        </w:trPr>
        <w:tc>
          <w:tcPr>
            <w:tcW w:w="1319" w:type="dxa"/>
            <w:tcBorders>
              <w:top w:val="single" w:color="000000" w:sz="6" w:space="0"/>
              <w:bottom w:val="single" w:color="000000" w:sz="6" w:space="0"/>
              <w:right w:val="single" w:color="000000" w:sz="6" w:space="0"/>
            </w:tcBorders>
            <w:noWrap w:val="0"/>
            <w:vAlign w:val="top"/>
          </w:tcPr>
          <w:p>
            <w:pPr>
              <w:pStyle w:val="11"/>
              <w:spacing w:line="242" w:lineRule="exact"/>
              <w:ind w:left="437" w:right="416"/>
              <w:jc w:val="center"/>
              <w:rPr>
                <w:sz w:val="20"/>
              </w:rPr>
            </w:pPr>
            <w:r>
              <w:rPr>
                <w:sz w:val="20"/>
              </w:rPr>
              <w:t>140</w:t>
            </w:r>
          </w:p>
        </w:tc>
        <w:tc>
          <w:tcPr>
            <w:tcW w:w="2801" w:type="dxa"/>
            <w:vMerge w:val="continue"/>
            <w:tcBorders>
              <w:top w:val="nil"/>
              <w:left w:val="single" w:color="000000" w:sz="6" w:space="0"/>
              <w:right w:val="single" w:color="000000" w:sz="6" w:space="0"/>
            </w:tcBorders>
            <w:noWrap w:val="0"/>
            <w:vAlign w:val="top"/>
          </w:tcPr>
          <w:p>
            <w:pPr>
              <w:rPr>
                <w:sz w:val="2"/>
                <w:szCs w:val="2"/>
              </w:rPr>
            </w:pPr>
          </w:p>
        </w:tc>
        <w:tc>
          <w:tcPr>
            <w:tcW w:w="3108" w:type="dxa"/>
            <w:gridSpan w:val="2"/>
            <w:tcBorders>
              <w:top w:val="single" w:color="000000" w:sz="6" w:space="0"/>
              <w:left w:val="single" w:color="000000" w:sz="6" w:space="0"/>
              <w:bottom w:val="single" w:color="000000" w:sz="6" w:space="0"/>
            </w:tcBorders>
            <w:noWrap w:val="0"/>
            <w:vAlign w:val="top"/>
          </w:tcPr>
          <w:p>
            <w:pPr>
              <w:pStyle w:val="11"/>
              <w:spacing w:before="2" w:line="240" w:lineRule="exact"/>
              <w:ind w:left="115"/>
              <w:rPr>
                <w:sz w:val="20"/>
              </w:rPr>
            </w:pPr>
            <w:r>
              <w:rPr>
                <w:sz w:val="20"/>
              </w:rPr>
              <w:t>保险</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trPr>
        <w:tc>
          <w:tcPr>
            <w:tcW w:w="1319" w:type="dxa"/>
            <w:tcBorders>
              <w:top w:val="single" w:color="000000" w:sz="6" w:space="0"/>
              <w:right w:val="single" w:color="000000" w:sz="6" w:space="0"/>
            </w:tcBorders>
            <w:noWrap w:val="0"/>
            <w:vAlign w:val="top"/>
          </w:tcPr>
          <w:p>
            <w:pPr>
              <w:pStyle w:val="11"/>
              <w:spacing w:line="252" w:lineRule="exact"/>
              <w:ind w:left="437" w:right="416"/>
              <w:jc w:val="center"/>
              <w:rPr>
                <w:sz w:val="20"/>
              </w:rPr>
            </w:pPr>
            <w:r>
              <w:rPr>
                <w:sz w:val="20"/>
              </w:rPr>
              <w:t>150</w:t>
            </w:r>
          </w:p>
        </w:tc>
        <w:tc>
          <w:tcPr>
            <w:tcW w:w="2801" w:type="dxa"/>
            <w:vMerge w:val="continue"/>
            <w:tcBorders>
              <w:top w:val="nil"/>
              <w:left w:val="single" w:color="000000" w:sz="6" w:space="0"/>
              <w:right w:val="single" w:color="000000" w:sz="6" w:space="0"/>
            </w:tcBorders>
            <w:noWrap w:val="0"/>
            <w:vAlign w:val="top"/>
          </w:tcPr>
          <w:p>
            <w:pPr>
              <w:rPr>
                <w:sz w:val="2"/>
                <w:szCs w:val="2"/>
              </w:rPr>
            </w:pPr>
          </w:p>
        </w:tc>
        <w:tc>
          <w:tcPr>
            <w:tcW w:w="3108" w:type="dxa"/>
            <w:gridSpan w:val="2"/>
            <w:tcBorders>
              <w:top w:val="single" w:color="000000" w:sz="6" w:space="0"/>
              <w:left w:val="single" w:color="000000" w:sz="6" w:space="0"/>
            </w:tcBorders>
            <w:noWrap w:val="0"/>
            <w:vAlign w:val="top"/>
          </w:tcPr>
          <w:p>
            <w:pPr>
              <w:pStyle w:val="11"/>
              <w:spacing w:before="7" w:line="250" w:lineRule="exact"/>
              <w:ind w:left="115"/>
              <w:rPr>
                <w:sz w:val="20"/>
              </w:rPr>
            </w:pPr>
            <w:r>
              <w:rPr>
                <w:sz w:val="20"/>
              </w:rPr>
              <w:t>担保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trPr>
        <w:tc>
          <w:tcPr>
            <w:tcW w:w="1319" w:type="dxa"/>
            <w:tcBorders>
              <w:right w:val="single" w:color="000000" w:sz="4" w:space="0"/>
            </w:tcBorders>
            <w:noWrap w:val="0"/>
            <w:vAlign w:val="top"/>
          </w:tcPr>
          <w:p>
            <w:pPr>
              <w:pStyle w:val="11"/>
              <w:spacing w:before="2"/>
              <w:ind w:left="488" w:right="470"/>
              <w:jc w:val="center"/>
              <w:rPr>
                <w:sz w:val="20"/>
              </w:rPr>
            </w:pPr>
            <w:r>
              <w:rPr>
                <w:sz w:val="20"/>
              </w:rPr>
              <w:t>200</w:t>
            </w:r>
          </w:p>
        </w:tc>
        <w:tc>
          <w:tcPr>
            <w:tcW w:w="5909" w:type="dxa"/>
            <w:gridSpan w:val="3"/>
            <w:tcBorders>
              <w:left w:val="single" w:color="000000" w:sz="4" w:space="0"/>
            </w:tcBorders>
            <w:noWrap w:val="0"/>
            <w:vAlign w:val="top"/>
          </w:tcPr>
          <w:p>
            <w:pPr>
              <w:pStyle w:val="11"/>
              <w:spacing w:before="14" w:line="250" w:lineRule="exact"/>
              <w:ind w:left="116"/>
              <w:rPr>
                <w:sz w:val="20"/>
              </w:rPr>
            </w:pPr>
            <w:r>
              <w:rPr>
                <w:sz w:val="20"/>
              </w:rPr>
              <w:t>小企业会计准则</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5" w:hRule="atLeast"/>
        </w:trPr>
        <w:tc>
          <w:tcPr>
            <w:tcW w:w="1319" w:type="dxa"/>
            <w:tcBorders>
              <w:right w:val="single" w:color="000000" w:sz="6" w:space="0"/>
            </w:tcBorders>
            <w:noWrap w:val="0"/>
            <w:vAlign w:val="top"/>
          </w:tcPr>
          <w:p>
            <w:pPr>
              <w:pStyle w:val="11"/>
              <w:spacing w:before="2"/>
              <w:ind w:left="437" w:right="416"/>
              <w:jc w:val="center"/>
              <w:rPr>
                <w:sz w:val="20"/>
              </w:rPr>
            </w:pPr>
            <w:r>
              <w:rPr>
                <w:sz w:val="20"/>
              </w:rPr>
              <w:t>300</w:t>
            </w:r>
          </w:p>
        </w:tc>
        <w:tc>
          <w:tcPr>
            <w:tcW w:w="5909" w:type="dxa"/>
            <w:gridSpan w:val="3"/>
            <w:tcBorders>
              <w:left w:val="single" w:color="000000" w:sz="6" w:space="0"/>
            </w:tcBorders>
            <w:noWrap w:val="0"/>
            <w:vAlign w:val="top"/>
          </w:tcPr>
          <w:p>
            <w:pPr>
              <w:pStyle w:val="11"/>
              <w:spacing w:before="14" w:line="251" w:lineRule="exact"/>
              <w:ind w:left="113"/>
              <w:rPr>
                <w:sz w:val="20"/>
              </w:rPr>
            </w:pPr>
            <w:r>
              <w:rPr>
                <w:sz w:val="20"/>
              </w:rPr>
              <w:t>企业会计制度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7" w:hRule="atLeast"/>
        </w:trPr>
        <w:tc>
          <w:tcPr>
            <w:tcW w:w="1319" w:type="dxa"/>
            <w:tcBorders>
              <w:bottom w:val="single" w:color="000000" w:sz="6" w:space="0"/>
              <w:right w:val="single" w:color="000000" w:sz="6" w:space="0"/>
            </w:tcBorders>
            <w:noWrap w:val="0"/>
            <w:vAlign w:val="top"/>
          </w:tcPr>
          <w:p>
            <w:pPr>
              <w:pStyle w:val="11"/>
              <w:spacing w:before="1"/>
              <w:ind w:left="437" w:right="416"/>
              <w:jc w:val="center"/>
              <w:rPr>
                <w:sz w:val="20"/>
              </w:rPr>
            </w:pPr>
            <w:r>
              <w:rPr>
                <w:sz w:val="20"/>
              </w:rPr>
              <w:t>410</w:t>
            </w:r>
          </w:p>
        </w:tc>
        <w:tc>
          <w:tcPr>
            <w:tcW w:w="2954" w:type="dxa"/>
            <w:gridSpan w:val="2"/>
            <w:vMerge w:val="restart"/>
            <w:tcBorders>
              <w:left w:val="single" w:color="000000" w:sz="6" w:space="0"/>
              <w:right w:val="single" w:color="000000" w:sz="6" w:space="0"/>
            </w:tcBorders>
            <w:noWrap w:val="0"/>
            <w:vAlign w:val="top"/>
          </w:tcPr>
          <w:p>
            <w:pPr>
              <w:pStyle w:val="11"/>
              <w:rPr>
                <w:b/>
                <w:sz w:val="20"/>
              </w:rPr>
            </w:pPr>
          </w:p>
          <w:p>
            <w:pPr>
              <w:pStyle w:val="11"/>
              <w:rPr>
                <w:b/>
                <w:sz w:val="20"/>
              </w:rPr>
            </w:pPr>
          </w:p>
          <w:p>
            <w:pPr>
              <w:pStyle w:val="11"/>
              <w:spacing w:before="8"/>
              <w:rPr>
                <w:b/>
                <w:sz w:val="19"/>
              </w:rPr>
            </w:pPr>
          </w:p>
          <w:p>
            <w:pPr>
              <w:pStyle w:val="11"/>
              <w:spacing w:before="1"/>
              <w:ind w:left="113"/>
              <w:rPr>
                <w:sz w:val="20"/>
              </w:rPr>
            </w:pPr>
            <w:r>
              <w:rPr>
                <w:sz w:val="20"/>
              </w:rPr>
              <w:t>事业单位会计准则</w:t>
            </w:r>
          </w:p>
        </w:tc>
        <w:tc>
          <w:tcPr>
            <w:tcW w:w="2955" w:type="dxa"/>
            <w:tcBorders>
              <w:left w:val="single" w:color="000000" w:sz="6" w:space="0"/>
              <w:bottom w:val="single" w:color="000000" w:sz="6" w:space="0"/>
            </w:tcBorders>
            <w:noWrap w:val="0"/>
            <w:vAlign w:val="top"/>
          </w:tcPr>
          <w:p>
            <w:pPr>
              <w:pStyle w:val="11"/>
              <w:spacing w:before="1"/>
              <w:ind w:left="114"/>
              <w:rPr>
                <w:sz w:val="20"/>
              </w:rPr>
            </w:pPr>
            <w:r>
              <w:rPr>
                <w:sz w:val="20"/>
              </w:rPr>
              <w:t>事业单位会计制度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0"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420</w:t>
            </w:r>
          </w:p>
        </w:tc>
        <w:tc>
          <w:tcPr>
            <w:tcW w:w="2954" w:type="dxa"/>
            <w:gridSpan w:val="2"/>
            <w:vMerge w:val="continue"/>
            <w:tcBorders>
              <w:top w:val="nil"/>
              <w:left w:val="single" w:color="000000" w:sz="6" w:space="0"/>
              <w:right w:val="single" w:color="000000" w:sz="6" w:space="0"/>
            </w:tcBorders>
            <w:noWrap w:val="0"/>
            <w:vAlign w:val="top"/>
          </w:tcPr>
          <w:p>
            <w:pPr>
              <w:rPr>
                <w:sz w:val="2"/>
                <w:szCs w:val="2"/>
              </w:rPr>
            </w:pPr>
          </w:p>
        </w:tc>
        <w:tc>
          <w:tcPr>
            <w:tcW w:w="2955" w:type="dxa"/>
            <w:tcBorders>
              <w:top w:val="single" w:color="000000" w:sz="6" w:space="0"/>
              <w:left w:val="single" w:color="000000" w:sz="6" w:space="0"/>
              <w:bottom w:val="single" w:color="000000" w:sz="6" w:space="0"/>
            </w:tcBorders>
            <w:noWrap w:val="0"/>
            <w:vAlign w:val="top"/>
          </w:tcPr>
          <w:p>
            <w:pPr>
              <w:pStyle w:val="11"/>
              <w:spacing w:line="250" w:lineRule="exact"/>
              <w:ind w:left="114"/>
              <w:rPr>
                <w:sz w:val="20"/>
              </w:rPr>
            </w:pPr>
            <w:r>
              <w:rPr>
                <w:sz w:val="20"/>
              </w:rPr>
              <w:t>科学事业单位会计制度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0"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430</w:t>
            </w:r>
          </w:p>
        </w:tc>
        <w:tc>
          <w:tcPr>
            <w:tcW w:w="2954" w:type="dxa"/>
            <w:gridSpan w:val="2"/>
            <w:vMerge w:val="continue"/>
            <w:tcBorders>
              <w:top w:val="nil"/>
              <w:left w:val="single" w:color="000000" w:sz="6" w:space="0"/>
              <w:right w:val="single" w:color="000000" w:sz="6" w:space="0"/>
            </w:tcBorders>
            <w:noWrap w:val="0"/>
            <w:vAlign w:val="top"/>
          </w:tcPr>
          <w:p>
            <w:pPr>
              <w:rPr>
                <w:sz w:val="2"/>
                <w:szCs w:val="2"/>
              </w:rPr>
            </w:pPr>
          </w:p>
        </w:tc>
        <w:tc>
          <w:tcPr>
            <w:tcW w:w="2955" w:type="dxa"/>
            <w:tcBorders>
              <w:top w:val="single" w:color="000000" w:sz="6" w:space="0"/>
              <w:left w:val="single" w:color="000000" w:sz="6" w:space="0"/>
              <w:bottom w:val="single" w:color="000000" w:sz="6" w:space="0"/>
            </w:tcBorders>
            <w:noWrap w:val="0"/>
            <w:vAlign w:val="top"/>
          </w:tcPr>
          <w:p>
            <w:pPr>
              <w:pStyle w:val="11"/>
              <w:spacing w:line="250" w:lineRule="exact"/>
              <w:ind w:left="114"/>
              <w:rPr>
                <w:sz w:val="20"/>
              </w:rPr>
            </w:pPr>
            <w:r>
              <w:rPr>
                <w:sz w:val="20"/>
              </w:rPr>
              <w:t>医院会计制度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0"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440</w:t>
            </w:r>
          </w:p>
        </w:tc>
        <w:tc>
          <w:tcPr>
            <w:tcW w:w="2954" w:type="dxa"/>
            <w:gridSpan w:val="2"/>
            <w:vMerge w:val="continue"/>
            <w:tcBorders>
              <w:top w:val="nil"/>
              <w:left w:val="single" w:color="000000" w:sz="6" w:space="0"/>
              <w:right w:val="single" w:color="000000" w:sz="6" w:space="0"/>
            </w:tcBorders>
            <w:noWrap w:val="0"/>
            <w:vAlign w:val="top"/>
          </w:tcPr>
          <w:p>
            <w:pPr>
              <w:rPr>
                <w:sz w:val="2"/>
                <w:szCs w:val="2"/>
              </w:rPr>
            </w:pPr>
          </w:p>
        </w:tc>
        <w:tc>
          <w:tcPr>
            <w:tcW w:w="2955" w:type="dxa"/>
            <w:tcBorders>
              <w:top w:val="single" w:color="000000" w:sz="6" w:space="0"/>
              <w:left w:val="single" w:color="000000" w:sz="6" w:space="0"/>
              <w:bottom w:val="single" w:color="000000" w:sz="6" w:space="0"/>
            </w:tcBorders>
            <w:noWrap w:val="0"/>
            <w:vAlign w:val="top"/>
          </w:tcPr>
          <w:p>
            <w:pPr>
              <w:pStyle w:val="11"/>
              <w:spacing w:line="250" w:lineRule="exact"/>
              <w:ind w:left="114"/>
              <w:rPr>
                <w:sz w:val="20"/>
              </w:rPr>
            </w:pPr>
            <w:r>
              <w:rPr>
                <w:sz w:val="20"/>
              </w:rPr>
              <w:t>高等学校会计制度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0"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450</w:t>
            </w:r>
          </w:p>
        </w:tc>
        <w:tc>
          <w:tcPr>
            <w:tcW w:w="2954" w:type="dxa"/>
            <w:gridSpan w:val="2"/>
            <w:vMerge w:val="continue"/>
            <w:tcBorders>
              <w:top w:val="nil"/>
              <w:left w:val="single" w:color="000000" w:sz="6" w:space="0"/>
              <w:right w:val="single" w:color="000000" w:sz="6" w:space="0"/>
            </w:tcBorders>
            <w:noWrap w:val="0"/>
            <w:vAlign w:val="top"/>
          </w:tcPr>
          <w:p>
            <w:pPr>
              <w:rPr>
                <w:sz w:val="2"/>
                <w:szCs w:val="2"/>
              </w:rPr>
            </w:pPr>
          </w:p>
        </w:tc>
        <w:tc>
          <w:tcPr>
            <w:tcW w:w="2955" w:type="dxa"/>
            <w:tcBorders>
              <w:top w:val="single" w:color="000000" w:sz="6" w:space="0"/>
              <w:left w:val="single" w:color="000000" w:sz="6" w:space="0"/>
              <w:bottom w:val="single" w:color="000000" w:sz="6" w:space="0"/>
            </w:tcBorders>
            <w:noWrap w:val="0"/>
            <w:vAlign w:val="top"/>
          </w:tcPr>
          <w:p>
            <w:pPr>
              <w:pStyle w:val="11"/>
              <w:spacing w:line="250" w:lineRule="exact"/>
              <w:ind w:left="114"/>
              <w:rPr>
                <w:sz w:val="20"/>
              </w:rPr>
            </w:pPr>
            <w:r>
              <w:rPr>
                <w:sz w:val="20"/>
              </w:rPr>
              <w:t>中小学校会计制度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319" w:type="dxa"/>
            <w:tcBorders>
              <w:top w:val="single" w:color="000000" w:sz="6" w:space="0"/>
              <w:bottom w:val="single" w:color="000000" w:sz="6" w:space="0"/>
              <w:right w:val="single" w:color="000000" w:sz="6" w:space="0"/>
            </w:tcBorders>
            <w:noWrap w:val="0"/>
            <w:vAlign w:val="top"/>
          </w:tcPr>
          <w:p>
            <w:pPr>
              <w:pStyle w:val="11"/>
              <w:spacing w:line="250" w:lineRule="exact"/>
              <w:ind w:left="437" w:right="416"/>
              <w:jc w:val="center"/>
              <w:rPr>
                <w:sz w:val="20"/>
              </w:rPr>
            </w:pPr>
            <w:r>
              <w:rPr>
                <w:sz w:val="20"/>
              </w:rPr>
              <w:t>460</w:t>
            </w:r>
          </w:p>
        </w:tc>
        <w:tc>
          <w:tcPr>
            <w:tcW w:w="2954" w:type="dxa"/>
            <w:gridSpan w:val="2"/>
            <w:vMerge w:val="continue"/>
            <w:tcBorders>
              <w:top w:val="nil"/>
              <w:left w:val="single" w:color="000000" w:sz="6" w:space="0"/>
              <w:bottom w:val="single" w:color="auto" w:sz="4" w:space="0"/>
              <w:right w:val="single" w:color="000000" w:sz="6" w:space="0"/>
            </w:tcBorders>
            <w:noWrap w:val="0"/>
            <w:vAlign w:val="top"/>
          </w:tcPr>
          <w:p>
            <w:pPr>
              <w:rPr>
                <w:sz w:val="2"/>
                <w:szCs w:val="2"/>
              </w:rPr>
            </w:pPr>
          </w:p>
        </w:tc>
        <w:tc>
          <w:tcPr>
            <w:tcW w:w="2955" w:type="dxa"/>
            <w:tcBorders>
              <w:top w:val="single" w:color="000000" w:sz="6" w:space="0"/>
              <w:left w:val="single" w:color="000000" w:sz="6" w:space="0"/>
              <w:bottom w:val="single" w:color="000000" w:sz="6" w:space="0"/>
            </w:tcBorders>
            <w:noWrap w:val="0"/>
            <w:vAlign w:val="top"/>
          </w:tcPr>
          <w:p>
            <w:pPr>
              <w:pStyle w:val="11"/>
              <w:spacing w:line="250" w:lineRule="exact"/>
              <w:ind w:left="114"/>
              <w:rPr>
                <w:sz w:val="20"/>
              </w:rPr>
            </w:pPr>
            <w:r>
              <w:rPr>
                <w:sz w:val="20"/>
              </w:rPr>
              <w:t>彩票机构会计制度</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319" w:type="dxa"/>
            <w:tcBorders>
              <w:top w:val="single" w:color="000000" w:sz="6" w:space="0"/>
              <w:bottom w:val="single" w:color="000000" w:sz="6" w:space="0"/>
              <w:right w:val="single" w:color="auto" w:sz="4" w:space="0"/>
            </w:tcBorders>
            <w:noWrap w:val="0"/>
            <w:vAlign w:val="top"/>
          </w:tcPr>
          <w:p>
            <w:pPr>
              <w:pStyle w:val="11"/>
              <w:spacing w:line="255" w:lineRule="exact"/>
              <w:ind w:left="437" w:leftChars="0" w:right="416" w:rightChars="0"/>
              <w:jc w:val="center"/>
              <w:rPr>
                <w:sz w:val="20"/>
              </w:rPr>
            </w:pPr>
            <w:r>
              <w:rPr>
                <w:sz w:val="20"/>
              </w:rPr>
              <w:t>500</w:t>
            </w:r>
          </w:p>
        </w:tc>
        <w:tc>
          <w:tcPr>
            <w:tcW w:w="2954" w:type="dxa"/>
            <w:gridSpan w:val="2"/>
            <w:tcBorders>
              <w:top w:val="single" w:color="auto" w:sz="4" w:space="0"/>
              <w:left w:val="single" w:color="auto" w:sz="4" w:space="0"/>
              <w:bottom w:val="single" w:color="auto" w:sz="4" w:space="0"/>
              <w:right w:val="single" w:color="auto" w:sz="4" w:space="0"/>
            </w:tcBorders>
            <w:noWrap w:val="0"/>
            <w:vAlign w:val="top"/>
          </w:tcPr>
          <w:p>
            <w:pPr>
              <w:pStyle w:val="11"/>
              <w:spacing w:before="11" w:line="254" w:lineRule="exact"/>
              <w:ind w:left="113" w:leftChars="0"/>
              <w:rPr>
                <w:sz w:val="2"/>
                <w:szCs w:val="2"/>
              </w:rPr>
            </w:pPr>
            <w:r>
              <w:rPr>
                <w:sz w:val="20"/>
              </w:rPr>
              <w:t>民间非营利组织会计制度</w:t>
            </w:r>
          </w:p>
        </w:tc>
        <w:tc>
          <w:tcPr>
            <w:tcW w:w="2955" w:type="dxa"/>
            <w:tcBorders>
              <w:top w:val="single" w:color="000000" w:sz="6" w:space="0"/>
              <w:left w:val="single" w:color="auto" w:sz="4" w:space="0"/>
              <w:bottom w:val="single" w:color="000000" w:sz="6" w:space="0"/>
            </w:tcBorders>
            <w:noWrap w:val="0"/>
            <w:vAlign w:val="top"/>
          </w:tcPr>
          <w:p>
            <w:pPr>
              <w:pStyle w:val="11"/>
              <w:spacing w:line="250" w:lineRule="exact"/>
              <w:ind w:left="114"/>
              <w:rPr>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319" w:type="dxa"/>
            <w:tcBorders>
              <w:top w:val="single" w:color="000000" w:sz="6" w:space="0"/>
              <w:bottom w:val="single" w:color="000000" w:sz="6" w:space="0"/>
              <w:right w:val="single" w:color="auto" w:sz="4" w:space="0"/>
            </w:tcBorders>
            <w:noWrap w:val="0"/>
            <w:vAlign w:val="top"/>
          </w:tcPr>
          <w:p>
            <w:pPr>
              <w:pStyle w:val="11"/>
              <w:spacing w:line="255" w:lineRule="exact"/>
              <w:ind w:left="437" w:leftChars="0" w:right="416" w:rightChars="0"/>
              <w:jc w:val="center"/>
              <w:rPr>
                <w:sz w:val="20"/>
              </w:rPr>
            </w:pPr>
            <w:r>
              <w:rPr>
                <w:sz w:val="20"/>
              </w:rPr>
              <w:t>600</w:t>
            </w:r>
          </w:p>
        </w:tc>
        <w:tc>
          <w:tcPr>
            <w:tcW w:w="2954" w:type="dxa"/>
            <w:gridSpan w:val="2"/>
            <w:tcBorders>
              <w:top w:val="single" w:color="auto" w:sz="4" w:space="0"/>
              <w:left w:val="single" w:color="auto" w:sz="4" w:space="0"/>
              <w:bottom w:val="single" w:color="auto" w:sz="4" w:space="0"/>
              <w:right w:val="single" w:color="auto" w:sz="4" w:space="0"/>
            </w:tcBorders>
            <w:noWrap w:val="0"/>
            <w:vAlign w:val="top"/>
          </w:tcPr>
          <w:p>
            <w:pPr>
              <w:pStyle w:val="11"/>
              <w:spacing w:before="11" w:line="254" w:lineRule="exact"/>
              <w:ind w:left="113" w:leftChars="0"/>
              <w:rPr>
                <w:sz w:val="2"/>
                <w:szCs w:val="2"/>
              </w:rPr>
            </w:pPr>
            <w:r>
              <w:rPr>
                <w:sz w:val="20"/>
              </w:rPr>
              <w:t>村集体经济组织会计制度</w:t>
            </w:r>
          </w:p>
        </w:tc>
        <w:tc>
          <w:tcPr>
            <w:tcW w:w="2955" w:type="dxa"/>
            <w:tcBorders>
              <w:top w:val="single" w:color="000000" w:sz="6" w:space="0"/>
              <w:left w:val="single" w:color="auto" w:sz="4" w:space="0"/>
              <w:bottom w:val="single" w:color="000000" w:sz="6" w:space="0"/>
            </w:tcBorders>
            <w:noWrap w:val="0"/>
            <w:vAlign w:val="top"/>
          </w:tcPr>
          <w:p>
            <w:pPr>
              <w:pStyle w:val="11"/>
              <w:spacing w:line="250" w:lineRule="exact"/>
              <w:ind w:left="114"/>
              <w:rPr>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319" w:type="dxa"/>
            <w:tcBorders>
              <w:top w:val="single" w:color="000000" w:sz="6" w:space="0"/>
              <w:bottom w:val="single" w:color="000000" w:sz="6" w:space="0"/>
              <w:right w:val="single" w:color="auto" w:sz="4" w:space="0"/>
            </w:tcBorders>
            <w:noWrap w:val="0"/>
            <w:vAlign w:val="top"/>
          </w:tcPr>
          <w:p>
            <w:pPr>
              <w:pStyle w:val="11"/>
              <w:spacing w:line="255" w:lineRule="exact"/>
              <w:ind w:left="437" w:leftChars="0" w:right="416" w:rightChars="0"/>
              <w:jc w:val="center"/>
              <w:rPr>
                <w:sz w:val="20"/>
              </w:rPr>
            </w:pPr>
            <w:r>
              <w:rPr>
                <w:sz w:val="20"/>
              </w:rPr>
              <w:t>700</w:t>
            </w:r>
          </w:p>
        </w:tc>
        <w:tc>
          <w:tcPr>
            <w:tcW w:w="2954" w:type="dxa"/>
            <w:gridSpan w:val="2"/>
            <w:tcBorders>
              <w:top w:val="single" w:color="auto" w:sz="4" w:space="0"/>
              <w:left w:val="single" w:color="auto" w:sz="4" w:space="0"/>
              <w:bottom w:val="single" w:color="auto" w:sz="4" w:space="0"/>
              <w:right w:val="single" w:color="auto" w:sz="4" w:space="0"/>
            </w:tcBorders>
            <w:noWrap w:val="0"/>
            <w:vAlign w:val="top"/>
          </w:tcPr>
          <w:p>
            <w:pPr>
              <w:pStyle w:val="11"/>
              <w:spacing w:before="11" w:line="254" w:lineRule="exact"/>
              <w:ind w:left="113" w:leftChars="0"/>
              <w:rPr>
                <w:sz w:val="2"/>
                <w:szCs w:val="2"/>
              </w:rPr>
            </w:pPr>
            <w:r>
              <w:rPr>
                <w:sz w:val="20"/>
              </w:rPr>
              <w:t>农民专业合作社财务会计制度（试行）</w:t>
            </w:r>
          </w:p>
        </w:tc>
        <w:tc>
          <w:tcPr>
            <w:tcW w:w="2955" w:type="dxa"/>
            <w:tcBorders>
              <w:top w:val="single" w:color="000000" w:sz="6" w:space="0"/>
              <w:left w:val="single" w:color="auto" w:sz="4" w:space="0"/>
              <w:bottom w:val="single" w:color="000000" w:sz="6" w:space="0"/>
            </w:tcBorders>
            <w:noWrap w:val="0"/>
            <w:vAlign w:val="top"/>
          </w:tcPr>
          <w:p>
            <w:pPr>
              <w:pStyle w:val="11"/>
              <w:spacing w:line="250" w:lineRule="exact"/>
              <w:ind w:left="114"/>
              <w:rPr>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319" w:type="dxa"/>
            <w:tcBorders>
              <w:top w:val="single" w:color="000000" w:sz="6" w:space="0"/>
              <w:bottom w:val="single" w:color="000000" w:sz="6" w:space="0"/>
              <w:right w:val="single" w:color="auto" w:sz="4" w:space="0"/>
            </w:tcBorders>
            <w:noWrap w:val="0"/>
            <w:vAlign w:val="top"/>
          </w:tcPr>
          <w:p>
            <w:pPr>
              <w:pStyle w:val="11"/>
              <w:spacing w:line="255" w:lineRule="exact"/>
              <w:ind w:left="437" w:leftChars="0" w:right="416" w:rightChars="0"/>
              <w:jc w:val="center"/>
              <w:rPr>
                <w:sz w:val="20"/>
              </w:rPr>
            </w:pPr>
            <w:r>
              <w:rPr>
                <w:sz w:val="20"/>
              </w:rPr>
              <w:t>800</w:t>
            </w:r>
          </w:p>
        </w:tc>
        <w:tc>
          <w:tcPr>
            <w:tcW w:w="2954" w:type="dxa"/>
            <w:gridSpan w:val="2"/>
            <w:tcBorders>
              <w:top w:val="single" w:color="auto" w:sz="4" w:space="0"/>
              <w:left w:val="single" w:color="auto" w:sz="4" w:space="0"/>
              <w:bottom w:val="single" w:color="auto" w:sz="4" w:space="0"/>
              <w:right w:val="single" w:color="auto" w:sz="4" w:space="0"/>
            </w:tcBorders>
            <w:noWrap w:val="0"/>
            <w:vAlign w:val="top"/>
          </w:tcPr>
          <w:p>
            <w:pPr>
              <w:pStyle w:val="11"/>
              <w:spacing w:before="11" w:line="254" w:lineRule="exact"/>
              <w:ind w:left="113" w:leftChars="0"/>
              <w:rPr>
                <w:sz w:val="2"/>
                <w:szCs w:val="2"/>
              </w:rPr>
            </w:pPr>
            <w:r>
              <w:rPr>
                <w:sz w:val="20"/>
              </w:rPr>
              <w:t>政府会计准则</w:t>
            </w:r>
          </w:p>
        </w:tc>
        <w:tc>
          <w:tcPr>
            <w:tcW w:w="2955" w:type="dxa"/>
            <w:tcBorders>
              <w:top w:val="single" w:color="000000" w:sz="6" w:space="0"/>
              <w:left w:val="single" w:color="auto" w:sz="4" w:space="0"/>
              <w:bottom w:val="single" w:color="000000" w:sz="6" w:space="0"/>
            </w:tcBorders>
            <w:noWrap w:val="0"/>
            <w:vAlign w:val="top"/>
          </w:tcPr>
          <w:p>
            <w:pPr>
              <w:pStyle w:val="11"/>
              <w:spacing w:line="250" w:lineRule="exact"/>
              <w:ind w:left="114"/>
              <w:rPr>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319" w:type="dxa"/>
            <w:tcBorders>
              <w:top w:val="single" w:color="000000" w:sz="6" w:space="0"/>
              <w:right w:val="single" w:color="auto" w:sz="4" w:space="0"/>
            </w:tcBorders>
            <w:noWrap w:val="0"/>
            <w:vAlign w:val="top"/>
          </w:tcPr>
          <w:p>
            <w:pPr>
              <w:pStyle w:val="11"/>
              <w:spacing w:line="239" w:lineRule="exact"/>
              <w:ind w:left="437" w:leftChars="0" w:right="416" w:rightChars="0"/>
              <w:jc w:val="center"/>
              <w:rPr>
                <w:sz w:val="20"/>
              </w:rPr>
            </w:pPr>
            <w:r>
              <w:rPr>
                <w:sz w:val="20"/>
              </w:rPr>
              <w:t>999</w:t>
            </w:r>
          </w:p>
        </w:tc>
        <w:tc>
          <w:tcPr>
            <w:tcW w:w="2954" w:type="dxa"/>
            <w:gridSpan w:val="2"/>
            <w:tcBorders>
              <w:top w:val="single" w:color="auto" w:sz="4" w:space="0"/>
              <w:left w:val="single" w:color="auto" w:sz="4" w:space="0"/>
              <w:bottom w:val="single" w:color="auto" w:sz="4" w:space="0"/>
              <w:right w:val="single" w:color="auto" w:sz="4" w:space="0"/>
            </w:tcBorders>
            <w:noWrap w:val="0"/>
            <w:vAlign w:val="top"/>
          </w:tcPr>
          <w:p>
            <w:pPr>
              <w:pStyle w:val="11"/>
              <w:spacing w:line="239" w:lineRule="exact"/>
              <w:ind w:left="113" w:leftChars="0"/>
              <w:rPr>
                <w:sz w:val="2"/>
                <w:szCs w:val="2"/>
              </w:rPr>
            </w:pPr>
            <w:r>
              <w:rPr>
                <w:sz w:val="20"/>
              </w:rPr>
              <w:t>其他</w:t>
            </w:r>
          </w:p>
        </w:tc>
        <w:tc>
          <w:tcPr>
            <w:tcW w:w="2955" w:type="dxa"/>
            <w:tcBorders>
              <w:top w:val="single" w:color="000000" w:sz="6" w:space="0"/>
              <w:left w:val="single" w:color="auto" w:sz="4" w:space="0"/>
            </w:tcBorders>
            <w:noWrap w:val="0"/>
            <w:vAlign w:val="top"/>
          </w:tcPr>
          <w:p>
            <w:pPr>
              <w:pStyle w:val="11"/>
              <w:spacing w:line="250" w:lineRule="exact"/>
              <w:ind w:left="114"/>
              <w:rPr>
                <w:sz w:val="20"/>
              </w:rPr>
            </w:pPr>
          </w:p>
        </w:tc>
      </w:tr>
    </w:tbl>
    <w:p>
      <w:pPr>
        <w:spacing w:after="0" w:line="250" w:lineRule="exact"/>
        <w:rPr>
          <w:sz w:val="20"/>
        </w:rPr>
        <w:sectPr>
          <w:pgSz w:w="11910" w:h="16840"/>
          <w:pgMar w:top="1080" w:right="280" w:bottom="840" w:left="400" w:header="0" w:footer="647" w:gutter="0"/>
          <w:cols w:space="720" w:num="1"/>
        </w:sect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lang w:eastAsia="zh-CN"/>
        </w:rPr>
        <w:t>二、有关涉税事项情况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本部分所列项目为条件必填（必选）内容，当纳税人存在或发生下列事项时，必须填报。纳税人未填报的，视同不存在或未发生下列事项。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1、“201 从事股权投资业务”：纳税人从事股权投资业务的（包括集团公司总部、创业投资企业等），选择“是”。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2、“202 存在境外关联交易”：纳税人存在境外关联交易的，选择“是”。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3、“203 境外所得信息”：填报纳税人与来源于中国境外所得的相关信息。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（1）“203-1 选择采用的境外所得抵免方式”：纳税人适用境外所得税收抵免政策，且根据《财政部 国家税务总局关于企业境外所得税收抵免有关问题的通知》（财税〔2009〕125 号）、《财政部 税务总局关于完善企业境外所得税收抵免政策问题的通知》（财税〔2017〕84 号）文件规定选择按国（地区）别分别计算其来源于境外的应纳税所得额，即“分国（地区）不分项”的，选择“分国（地区）不分项”；纳税人适用境外所得税收抵免政策，且根据财税〔2009〕125 号、财税〔2017〕84 号文件规定选择不按国（地区）别汇总计算其来源于境外的应纳税所得额，即“不分国（地区）不分项”的，选择“不分国（地区）不分项”。境外所得抵免方式一经选择，5 年内不得变更。</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（2）“203-2 海南自由贸易港新增境外直接投资信息”：填报纳税人符合享受境外所得免征企业所得税优惠政策条件的相关信息。本项目由在海南自由贸易港设立的旅游业、现代服务业、高新技术产业且新增境外直接投资的企业填报。“产业类别”填报纳税人经营的产业类别，按“旅游业”、“现代服务业”、“高新技术产业”选择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4、“204 有限合伙制创业投资企业的法人合伙人”：纳税人投资于有限合伙制创业投资企业且为其法人合伙人的，选择“是”。本项目中的有限合伙制创业投资企业的法人合伙人是指符合《中华人民共和国合伙企业法》《创业投资企业管理暂行办法》（国家发展和改革委员会令第 39 号）、《外商投资创业投资企业管理规定》（外经贸部、科技部、工商总局、税务总局、外汇管理局令 2003 年第 2 号发布，商务部令 201</w:t>
      </w:r>
      <w:r>
        <w:rPr>
          <w:rFonts w:hint="eastAsia" w:ascii="微软雅黑" w:hAnsi="微软雅黑" w:eastAsia="微软雅黑" w:cs="微软雅黑"/>
          <w:sz w:val="21"/>
          <w:szCs w:val="21"/>
          <w:lang w:val="en-US" w:eastAsia="zh-CN"/>
        </w:rPr>
        <w:t>5</w:t>
      </w:r>
      <w:r>
        <w:rPr>
          <w:rFonts w:hint="eastAsia" w:ascii="微软雅黑" w:hAnsi="微软雅黑" w:eastAsia="微软雅黑" w:cs="微软雅黑"/>
          <w:sz w:val="21"/>
          <w:szCs w:val="21"/>
          <w:lang w:eastAsia="zh-CN"/>
        </w:rPr>
        <w:t>年第 2 号修改）、《私募投资基金监督管理暂行办法》(证监会令第 105 号)关于创业投资基金的特别规定等规定的创业投资企业法人合伙人。有限合伙制创业投资企业的法人合伙人无论是否享受企业所得税优惠政策，均应填报本项。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5、“205 创业投资企业”：纳税人为创业投资企业的，选择“是”。本项目中的创业投资企业是指依照《创业投资企业管理暂行办法》（国家发展和改革委员会令第 39 号）和《外商投资创业投资企业管理规定》（外经贸部、科技部、工商总局、税务总局、外汇管理局令 2003 年第 2 号发布，商务部令 2015 年第 2 号修改）、《私募投资基金监督管理暂行办法》(证监会令第 105 号)关于创业投资基金的特别规定等规定， 在中华人民共和国境内设立的专门从事创业投资活动的企业或其他经济组织。创业投资企业无论是否享受企业所得税优惠政策，均应填报本项。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6、“206 技术先进型服务企业类型”：纳税人为经认定的技术先进型服务企业的， 从《技术先进型服务企业类型代码表》中选择相应的代码填报本项。本项目中的经认定的技术先进型服务企业是指符合《财政部 税务总局 商务部 科技部 国家发展改革委关于将技术先进型服务企业所得税政策推广至全国实施的通知》（财税〔2017〕79 号）、《财政部 税务总局 商务部 科技部 国家发展改革委关于将服务贸易创新发展试点地区技术先进型服务企业所得税政策推广至全国实施的通知》（财税〔2018〕44 号）等文件规定的企业。经认定的技术先进型服务企业无论是否享受企业所得税优惠政策，均应填报本项。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7、“207 非营利组织”：纳税人为非营利组织的，选择“是”。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b/>
          <w:bCs/>
          <w:sz w:val="36"/>
          <w:szCs w:val="36"/>
        </w:rPr>
      </w:pPr>
      <w:r>
        <w:rPr>
          <w:rFonts w:hint="eastAsia" w:ascii="微软雅黑" w:hAnsi="微软雅黑" w:eastAsia="微软雅黑" w:cs="微软雅黑"/>
          <w:sz w:val="21"/>
          <w:szCs w:val="21"/>
          <w:lang w:eastAsia="zh-CN"/>
        </w:rPr>
        <w:t>8、“208 软件、集成电路企业类型”：适用纳税人根据《企业所得税年度纳税申报基础信息表》（A000000）“208 软件、集成电路企业类型”填报的企业类型和实际经营情况，从《软件、集成电路企业优惠方式代码表》“代码”列中选择相应代码填报。软件、集成电路企业若符合相关企业所得税优惠政策条件的，无论是否享受企业所得税优惠，均应填报本项，且仅可从中选择一项填列。</w:t>
      </w:r>
    </w:p>
    <w:p>
      <w:pPr>
        <w:bidi w:val="0"/>
        <w:jc w:val="center"/>
        <w:rPr>
          <w:b/>
          <w:bCs/>
        </w:rPr>
      </w:pPr>
      <w:r>
        <w:rPr>
          <w:b/>
          <w:bCs/>
        </w:rPr>
        <w:t>软件、集成电路企业类型代码表</w:t>
      </w:r>
    </w:p>
    <w:tbl>
      <w:tblPr>
        <w:tblStyle w:val="8"/>
        <w:tblW w:w="8697" w:type="dxa"/>
        <w:tblInd w:w="127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41"/>
        <w:gridCol w:w="2205"/>
        <w:gridCol w:w="1119"/>
        <w:gridCol w:w="443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4" w:hRule="atLeast"/>
        </w:trPr>
        <w:tc>
          <w:tcPr>
            <w:tcW w:w="941" w:type="dxa"/>
            <w:vMerge w:val="restart"/>
            <w:tcBorders>
              <w:right w:val="single" w:color="000000" w:sz="6" w:space="0"/>
            </w:tcBorders>
            <w:noWrap w:val="0"/>
            <w:vAlign w:val="top"/>
          </w:tcPr>
          <w:p>
            <w:pPr>
              <w:pStyle w:val="11"/>
              <w:spacing w:before="145"/>
              <w:ind w:left="258"/>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代码</w:t>
            </w:r>
          </w:p>
        </w:tc>
        <w:tc>
          <w:tcPr>
            <w:tcW w:w="7756" w:type="dxa"/>
            <w:gridSpan w:val="3"/>
            <w:tcBorders>
              <w:left w:val="single" w:color="000000" w:sz="6" w:space="0"/>
              <w:bottom w:val="single" w:color="000000" w:sz="6" w:space="0"/>
            </w:tcBorders>
            <w:noWrap w:val="0"/>
            <w:vAlign w:val="top"/>
          </w:tcPr>
          <w:p>
            <w:pPr>
              <w:pStyle w:val="11"/>
              <w:spacing w:before="1" w:line="243" w:lineRule="exact"/>
              <w:ind w:left="3652" w:right="3621"/>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类型</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5" w:hRule="atLeast"/>
        </w:trPr>
        <w:tc>
          <w:tcPr>
            <w:tcW w:w="941" w:type="dxa"/>
            <w:vMerge w:val="continue"/>
            <w:tcBorders>
              <w:top w:val="nil"/>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2205" w:type="dxa"/>
            <w:tcBorders>
              <w:top w:val="single" w:color="000000" w:sz="6" w:space="0"/>
              <w:left w:val="single" w:color="000000" w:sz="6" w:space="0"/>
              <w:right w:val="single" w:color="000000" w:sz="6" w:space="0"/>
            </w:tcBorders>
            <w:noWrap w:val="0"/>
            <w:vAlign w:val="top"/>
          </w:tcPr>
          <w:p>
            <w:pPr>
              <w:pStyle w:val="11"/>
              <w:spacing w:line="245" w:lineRule="exact"/>
              <w:ind w:left="878" w:right="85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大类</w:t>
            </w:r>
          </w:p>
        </w:tc>
        <w:tc>
          <w:tcPr>
            <w:tcW w:w="1119" w:type="dxa"/>
            <w:tcBorders>
              <w:top w:val="single" w:color="000000" w:sz="6" w:space="0"/>
              <w:left w:val="single" w:color="000000" w:sz="6" w:space="0"/>
              <w:right w:val="single" w:color="000000" w:sz="6" w:space="0"/>
            </w:tcBorders>
            <w:noWrap w:val="0"/>
            <w:vAlign w:val="top"/>
          </w:tcPr>
          <w:p>
            <w:pPr>
              <w:pStyle w:val="11"/>
              <w:spacing w:line="245" w:lineRule="exact"/>
              <w:ind w:left="35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中类</w:t>
            </w:r>
          </w:p>
        </w:tc>
        <w:tc>
          <w:tcPr>
            <w:tcW w:w="4432" w:type="dxa"/>
            <w:tcBorders>
              <w:top w:val="single" w:color="000000" w:sz="6" w:space="0"/>
              <w:left w:val="single" w:color="000000" w:sz="6" w:space="0"/>
            </w:tcBorders>
            <w:noWrap w:val="0"/>
            <w:vAlign w:val="top"/>
          </w:tcPr>
          <w:p>
            <w:pPr>
              <w:pStyle w:val="11"/>
              <w:spacing w:line="245" w:lineRule="exact"/>
              <w:ind w:left="1991" w:right="1957"/>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小类</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4" w:hRule="atLeast"/>
        </w:trPr>
        <w:tc>
          <w:tcPr>
            <w:tcW w:w="941" w:type="dxa"/>
            <w:tcBorders>
              <w:bottom w:val="single" w:color="000000" w:sz="6" w:space="0"/>
              <w:right w:val="single" w:color="000000" w:sz="6" w:space="0"/>
            </w:tcBorders>
            <w:noWrap w:val="0"/>
            <w:vAlign w:val="top"/>
          </w:tcPr>
          <w:p>
            <w:pPr>
              <w:pStyle w:val="11"/>
              <w:spacing w:line="245"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110</w:t>
            </w:r>
          </w:p>
        </w:tc>
        <w:tc>
          <w:tcPr>
            <w:tcW w:w="2205" w:type="dxa"/>
            <w:vMerge w:val="restart"/>
            <w:tcBorders>
              <w:left w:val="single" w:color="000000" w:sz="6" w:space="0"/>
              <w:right w:val="single" w:color="000000" w:sz="6" w:space="0"/>
            </w:tcBorders>
            <w:noWrap w:val="0"/>
            <w:vAlign w:val="top"/>
          </w:tcPr>
          <w:p>
            <w:pPr>
              <w:pStyle w:val="11"/>
              <w:rPr>
                <w:rFonts w:hint="eastAsia" w:asciiTheme="minorEastAsia" w:hAnsiTheme="minorEastAsia" w:eastAsiaTheme="minorEastAsia" w:cstheme="minorEastAsia"/>
                <w:b/>
                <w:sz w:val="20"/>
                <w:szCs w:val="20"/>
              </w:rPr>
            </w:pPr>
          </w:p>
          <w:p>
            <w:pPr>
              <w:pStyle w:val="11"/>
              <w:rPr>
                <w:rFonts w:hint="eastAsia" w:asciiTheme="minorEastAsia" w:hAnsiTheme="minorEastAsia" w:eastAsiaTheme="minorEastAsia" w:cstheme="minorEastAsia"/>
                <w:b/>
                <w:sz w:val="20"/>
                <w:szCs w:val="20"/>
              </w:rPr>
            </w:pPr>
          </w:p>
          <w:p>
            <w:pPr>
              <w:pStyle w:val="11"/>
              <w:spacing w:before="1"/>
              <w:rPr>
                <w:rFonts w:hint="eastAsia" w:asciiTheme="minorEastAsia" w:hAnsiTheme="minorEastAsia" w:eastAsiaTheme="minorEastAsia" w:cstheme="minorEastAsia"/>
                <w:b/>
                <w:sz w:val="20"/>
                <w:szCs w:val="20"/>
              </w:rPr>
            </w:pPr>
          </w:p>
          <w:p>
            <w:pPr>
              <w:pStyle w:val="11"/>
              <w:spacing w:before="1"/>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集成电路生产企业</w:t>
            </w:r>
          </w:p>
        </w:tc>
        <w:tc>
          <w:tcPr>
            <w:tcW w:w="5551" w:type="dxa"/>
            <w:gridSpan w:val="2"/>
            <w:tcBorders>
              <w:left w:val="single" w:color="000000" w:sz="6" w:space="0"/>
              <w:bottom w:val="single" w:color="000000" w:sz="6" w:space="0"/>
            </w:tcBorders>
            <w:noWrap w:val="0"/>
            <w:vAlign w:val="top"/>
          </w:tcPr>
          <w:p>
            <w:pPr>
              <w:pStyle w:val="11"/>
              <w:spacing w:line="245"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线宽小于 0</w:t>
            </w:r>
            <w:r>
              <w:rPr>
                <w:rFonts w:hint="eastAsia" w:asciiTheme="minorEastAsia" w:hAnsiTheme="minorEastAsia" w:eastAsiaTheme="minorEastAsia" w:cstheme="minorEastAsia"/>
                <w:sz w:val="20"/>
                <w:szCs w:val="20"/>
                <w:lang w:eastAsia="zh-CN"/>
              </w:rPr>
              <w:t>、</w:t>
            </w:r>
            <w:r>
              <w:rPr>
                <w:rFonts w:hint="eastAsia" w:asciiTheme="minorEastAsia" w:hAnsiTheme="minorEastAsia" w:eastAsiaTheme="minorEastAsia" w:cstheme="minorEastAsia"/>
                <w:sz w:val="20"/>
                <w:szCs w:val="20"/>
              </w:rPr>
              <w:t>8 微米（含）的企业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8" w:hRule="atLeast"/>
        </w:trPr>
        <w:tc>
          <w:tcPr>
            <w:tcW w:w="941" w:type="dxa"/>
            <w:tcBorders>
              <w:top w:val="single" w:color="000000" w:sz="6" w:space="0"/>
              <w:bottom w:val="single" w:color="000000" w:sz="6" w:space="0"/>
              <w:right w:val="single" w:color="000000" w:sz="6" w:space="0"/>
            </w:tcBorders>
            <w:noWrap w:val="0"/>
            <w:vAlign w:val="top"/>
          </w:tcPr>
          <w:p>
            <w:pPr>
              <w:pStyle w:val="11"/>
              <w:spacing w:line="238"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120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bottom w:val="single" w:color="000000" w:sz="6" w:space="0"/>
            </w:tcBorders>
            <w:noWrap w:val="0"/>
            <w:vAlign w:val="top"/>
          </w:tcPr>
          <w:p>
            <w:pPr>
              <w:pStyle w:val="11"/>
              <w:spacing w:line="238"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线宽小于 0</w:t>
            </w:r>
            <w:r>
              <w:rPr>
                <w:rFonts w:hint="eastAsia" w:asciiTheme="minorEastAsia" w:hAnsiTheme="minorEastAsia" w:eastAsiaTheme="minorEastAsia" w:cstheme="minorEastAsia"/>
                <w:sz w:val="20"/>
                <w:szCs w:val="20"/>
                <w:lang w:eastAsia="zh-CN"/>
              </w:rPr>
              <w:t>、</w:t>
            </w:r>
            <w:r>
              <w:rPr>
                <w:rFonts w:hint="eastAsia" w:asciiTheme="minorEastAsia" w:hAnsiTheme="minorEastAsia" w:eastAsiaTheme="minorEastAsia" w:cstheme="minorEastAsia"/>
                <w:sz w:val="20"/>
                <w:szCs w:val="20"/>
              </w:rPr>
              <w:t>25 微米的企业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6"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130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bottom w:val="single" w:color="000000" w:sz="6" w:space="0"/>
            </w:tcBorders>
            <w:noWrap w:val="0"/>
            <w:vAlign w:val="top"/>
          </w:tcPr>
          <w:p>
            <w:pPr>
              <w:pStyle w:val="11"/>
              <w:spacing w:line="237"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投资额超过 80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7"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140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bottom w:val="single" w:color="000000" w:sz="6" w:space="0"/>
            </w:tcBorders>
            <w:noWrap w:val="0"/>
            <w:vAlign w:val="top"/>
          </w:tcPr>
          <w:p>
            <w:pPr>
              <w:pStyle w:val="11"/>
              <w:spacing w:line="237"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线宽小于 130 纳米（含）的企业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7" w:hRule="atLeast"/>
        </w:trPr>
        <w:tc>
          <w:tcPr>
            <w:tcW w:w="941" w:type="dxa"/>
            <w:tcBorders>
              <w:top w:val="single" w:color="000000" w:sz="6" w:space="0"/>
              <w:bottom w:val="single" w:color="000000" w:sz="6" w:space="0"/>
              <w:right w:val="single" w:color="000000" w:sz="6" w:space="0"/>
            </w:tcBorders>
            <w:noWrap w:val="0"/>
            <w:vAlign w:val="top"/>
          </w:tcPr>
          <w:p>
            <w:pPr>
              <w:pStyle w:val="11"/>
              <w:spacing w:line="238"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150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bottom w:val="single" w:color="000000" w:sz="6" w:space="0"/>
            </w:tcBorders>
            <w:noWrap w:val="0"/>
            <w:vAlign w:val="top"/>
          </w:tcPr>
          <w:p>
            <w:pPr>
              <w:pStyle w:val="11"/>
              <w:spacing w:line="238"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线宽小于 65 纳米（含）或投资额超过 150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4" w:hRule="atLeast"/>
        </w:trPr>
        <w:tc>
          <w:tcPr>
            <w:tcW w:w="941" w:type="dxa"/>
            <w:tcBorders>
              <w:top w:val="single" w:color="000000" w:sz="6" w:space="0"/>
              <w:right w:val="single" w:color="000000" w:sz="6" w:space="0"/>
            </w:tcBorders>
            <w:noWrap w:val="0"/>
            <w:vAlign w:val="top"/>
          </w:tcPr>
          <w:p>
            <w:pPr>
              <w:pStyle w:val="11"/>
              <w:spacing w:line="244"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160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tcBorders>
            <w:noWrap w:val="0"/>
            <w:vAlign w:val="top"/>
          </w:tcPr>
          <w:p>
            <w:pPr>
              <w:pStyle w:val="11"/>
              <w:spacing w:line="244"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线宽小于 28 纳米（含）的企业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7" w:hRule="atLeast"/>
        </w:trPr>
        <w:tc>
          <w:tcPr>
            <w:tcW w:w="941" w:type="dxa"/>
            <w:tcBorders>
              <w:bottom w:val="single" w:color="000000" w:sz="6" w:space="0"/>
              <w:right w:val="single" w:color="000000" w:sz="6" w:space="0"/>
            </w:tcBorders>
            <w:noWrap w:val="0"/>
            <w:vAlign w:val="top"/>
          </w:tcPr>
          <w:p>
            <w:pPr>
              <w:pStyle w:val="11"/>
              <w:spacing w:before="134"/>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210</w:t>
            </w:r>
          </w:p>
        </w:tc>
        <w:tc>
          <w:tcPr>
            <w:tcW w:w="2205" w:type="dxa"/>
            <w:vMerge w:val="restart"/>
            <w:tcBorders>
              <w:left w:val="single" w:color="000000" w:sz="6" w:space="0"/>
              <w:right w:val="single" w:color="000000" w:sz="6" w:space="0"/>
            </w:tcBorders>
            <w:noWrap w:val="0"/>
            <w:vAlign w:val="top"/>
          </w:tcPr>
          <w:p>
            <w:pPr>
              <w:pStyle w:val="11"/>
              <w:rPr>
                <w:rFonts w:hint="eastAsia" w:asciiTheme="minorEastAsia" w:hAnsiTheme="minorEastAsia" w:eastAsiaTheme="minorEastAsia" w:cstheme="minorEastAsia"/>
                <w:b/>
                <w:sz w:val="20"/>
                <w:szCs w:val="20"/>
              </w:rPr>
            </w:pPr>
          </w:p>
          <w:p>
            <w:pPr>
              <w:pStyle w:val="11"/>
              <w:spacing w:before="166"/>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集成电路设计企业</w:t>
            </w:r>
          </w:p>
        </w:tc>
        <w:tc>
          <w:tcPr>
            <w:tcW w:w="5551" w:type="dxa"/>
            <w:gridSpan w:val="2"/>
            <w:tcBorders>
              <w:left w:val="single" w:color="000000" w:sz="6" w:space="0"/>
              <w:bottom w:val="single" w:color="000000" w:sz="6" w:space="0"/>
            </w:tcBorders>
            <w:noWrap w:val="0"/>
            <w:vAlign w:val="top"/>
          </w:tcPr>
          <w:p>
            <w:pPr>
              <w:pStyle w:val="11"/>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新办符合条件的集成电路设计企业\国家鼓励的集成电路</w:t>
            </w:r>
          </w:p>
          <w:p>
            <w:pPr>
              <w:pStyle w:val="11"/>
              <w:spacing w:before="2" w:line="246"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7"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220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bottom w:val="single" w:color="000000" w:sz="6" w:space="0"/>
            </w:tcBorders>
            <w:noWrap w:val="0"/>
            <w:vAlign w:val="top"/>
          </w:tcPr>
          <w:p>
            <w:pPr>
              <w:pStyle w:val="11"/>
              <w:spacing w:line="237"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符合规模条件的重点集成电路设计企业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4" w:hRule="atLeast"/>
        </w:trPr>
        <w:tc>
          <w:tcPr>
            <w:tcW w:w="941" w:type="dxa"/>
            <w:tcBorders>
              <w:top w:val="single" w:color="000000" w:sz="6" w:space="0"/>
              <w:right w:val="single" w:color="000000" w:sz="6" w:space="0"/>
            </w:tcBorders>
            <w:noWrap w:val="0"/>
            <w:vAlign w:val="top"/>
          </w:tcPr>
          <w:p>
            <w:pPr>
              <w:pStyle w:val="11"/>
              <w:spacing w:line="244"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230</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5551" w:type="dxa"/>
            <w:gridSpan w:val="2"/>
            <w:tcBorders>
              <w:top w:val="single" w:color="000000" w:sz="6" w:space="0"/>
              <w:left w:val="single" w:color="000000" w:sz="6" w:space="0"/>
            </w:tcBorders>
            <w:noWrap w:val="0"/>
            <w:vAlign w:val="top"/>
          </w:tcPr>
          <w:p>
            <w:pPr>
              <w:pStyle w:val="11"/>
              <w:spacing w:line="244" w:lineRule="exact"/>
              <w:ind w:left="115"/>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符合领域条件的重点集成电路设计企业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5" w:hRule="atLeast"/>
        </w:trPr>
        <w:tc>
          <w:tcPr>
            <w:tcW w:w="941" w:type="dxa"/>
            <w:tcBorders>
              <w:bottom w:val="single" w:color="000000" w:sz="6" w:space="0"/>
              <w:right w:val="single" w:color="000000" w:sz="6" w:space="0"/>
            </w:tcBorders>
            <w:noWrap w:val="0"/>
            <w:vAlign w:val="top"/>
          </w:tcPr>
          <w:p>
            <w:pPr>
              <w:pStyle w:val="11"/>
              <w:spacing w:before="1" w:line="245"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311</w:t>
            </w:r>
          </w:p>
        </w:tc>
        <w:tc>
          <w:tcPr>
            <w:tcW w:w="2205" w:type="dxa"/>
            <w:vMerge w:val="restart"/>
            <w:tcBorders>
              <w:left w:val="single" w:color="000000" w:sz="6" w:space="0"/>
              <w:right w:val="single" w:color="000000" w:sz="6" w:space="0"/>
            </w:tcBorders>
            <w:noWrap w:val="0"/>
            <w:vAlign w:val="top"/>
          </w:tcPr>
          <w:p>
            <w:pPr>
              <w:pStyle w:val="11"/>
              <w:rPr>
                <w:rFonts w:hint="eastAsia" w:asciiTheme="minorEastAsia" w:hAnsiTheme="minorEastAsia" w:eastAsiaTheme="minorEastAsia" w:cstheme="minorEastAsia"/>
                <w:b/>
                <w:sz w:val="20"/>
                <w:szCs w:val="20"/>
              </w:rPr>
            </w:pPr>
          </w:p>
          <w:p>
            <w:pPr>
              <w:pStyle w:val="11"/>
              <w:rPr>
                <w:rFonts w:hint="eastAsia" w:asciiTheme="minorEastAsia" w:hAnsiTheme="minorEastAsia" w:eastAsiaTheme="minorEastAsia" w:cstheme="minorEastAsia"/>
                <w:b/>
                <w:sz w:val="20"/>
                <w:szCs w:val="20"/>
              </w:rPr>
            </w:pPr>
          </w:p>
          <w:p>
            <w:pPr>
              <w:pStyle w:val="11"/>
              <w:rPr>
                <w:rFonts w:hint="eastAsia" w:asciiTheme="minorEastAsia" w:hAnsiTheme="minorEastAsia" w:eastAsiaTheme="minorEastAsia" w:cstheme="minorEastAsia"/>
                <w:b/>
                <w:sz w:val="20"/>
                <w:szCs w:val="20"/>
              </w:rPr>
            </w:pPr>
          </w:p>
          <w:p>
            <w:pPr>
              <w:pStyle w:val="11"/>
              <w:spacing w:before="7"/>
              <w:rPr>
                <w:rFonts w:hint="eastAsia" w:asciiTheme="minorEastAsia" w:hAnsiTheme="minorEastAsia" w:eastAsiaTheme="minorEastAsia" w:cstheme="minorEastAsia"/>
                <w:b/>
                <w:sz w:val="20"/>
                <w:szCs w:val="20"/>
              </w:rPr>
            </w:pPr>
          </w:p>
          <w:p>
            <w:pPr>
              <w:pStyle w:val="11"/>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软件企业</w:t>
            </w:r>
          </w:p>
        </w:tc>
        <w:tc>
          <w:tcPr>
            <w:tcW w:w="1119" w:type="dxa"/>
            <w:vMerge w:val="restart"/>
            <w:tcBorders>
              <w:left w:val="single" w:color="000000" w:sz="6" w:space="0"/>
              <w:bottom w:val="single" w:color="000000" w:sz="6" w:space="0"/>
              <w:right w:val="single" w:color="000000" w:sz="6" w:space="0"/>
            </w:tcBorders>
            <w:noWrap w:val="0"/>
            <w:vAlign w:val="top"/>
          </w:tcPr>
          <w:p>
            <w:pPr>
              <w:pStyle w:val="11"/>
              <w:spacing w:before="1"/>
              <w:rPr>
                <w:rFonts w:hint="eastAsia" w:asciiTheme="minorEastAsia" w:hAnsiTheme="minorEastAsia" w:eastAsiaTheme="minorEastAsia" w:cstheme="minorEastAsia"/>
                <w:b/>
                <w:sz w:val="20"/>
                <w:szCs w:val="20"/>
              </w:rPr>
            </w:pPr>
          </w:p>
          <w:p>
            <w:pPr>
              <w:pStyle w:val="11"/>
              <w:spacing w:line="242" w:lineRule="auto"/>
              <w:ind w:left="115" w:right="8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一般软件企业</w:t>
            </w:r>
          </w:p>
        </w:tc>
        <w:tc>
          <w:tcPr>
            <w:tcW w:w="4432" w:type="dxa"/>
            <w:tcBorders>
              <w:left w:val="single" w:color="000000" w:sz="6" w:space="0"/>
              <w:bottom w:val="single" w:color="000000" w:sz="6" w:space="0"/>
            </w:tcBorders>
            <w:noWrap w:val="0"/>
            <w:vAlign w:val="top"/>
          </w:tcPr>
          <w:p>
            <w:pPr>
              <w:pStyle w:val="11"/>
              <w:spacing w:before="1" w:line="245"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符合条件的软件企业\国家鼓励的软件企业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6"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312</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continue"/>
            <w:tcBorders>
              <w:top w:val="nil"/>
              <w:left w:val="single" w:color="000000" w:sz="6" w:space="0"/>
              <w:bottom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4432" w:type="dxa"/>
            <w:tcBorders>
              <w:top w:val="single" w:color="000000" w:sz="6" w:space="0"/>
              <w:left w:val="single" w:color="000000" w:sz="6" w:space="0"/>
              <w:bottom w:val="single" w:color="000000" w:sz="6" w:space="0"/>
            </w:tcBorders>
            <w:noWrap w:val="0"/>
            <w:vAlign w:val="top"/>
          </w:tcPr>
          <w:p>
            <w:pPr>
              <w:pStyle w:val="11"/>
              <w:spacing w:line="237"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符合规模条件的重点软件企业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7"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313</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continue"/>
            <w:tcBorders>
              <w:top w:val="nil"/>
              <w:left w:val="single" w:color="000000" w:sz="6" w:space="0"/>
              <w:bottom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4432" w:type="dxa"/>
            <w:tcBorders>
              <w:top w:val="single" w:color="000000" w:sz="6" w:space="0"/>
              <w:left w:val="single" w:color="000000" w:sz="6" w:space="0"/>
              <w:bottom w:val="single" w:color="000000" w:sz="6" w:space="0"/>
            </w:tcBorders>
            <w:noWrap w:val="0"/>
            <w:vAlign w:val="top"/>
          </w:tcPr>
          <w:p>
            <w:pPr>
              <w:pStyle w:val="11"/>
              <w:spacing w:line="237"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符合领域条件的重点软件企业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7" w:hRule="atLeast"/>
        </w:trPr>
        <w:tc>
          <w:tcPr>
            <w:tcW w:w="941" w:type="dxa"/>
            <w:tcBorders>
              <w:top w:val="single" w:color="000000" w:sz="6" w:space="0"/>
              <w:bottom w:val="single" w:color="000000" w:sz="6" w:space="0"/>
              <w:right w:val="single" w:color="000000" w:sz="6" w:space="0"/>
            </w:tcBorders>
            <w:noWrap w:val="0"/>
            <w:vAlign w:val="top"/>
          </w:tcPr>
          <w:p>
            <w:pPr>
              <w:pStyle w:val="11"/>
              <w:spacing w:line="238"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314</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continue"/>
            <w:tcBorders>
              <w:top w:val="nil"/>
              <w:left w:val="single" w:color="000000" w:sz="6" w:space="0"/>
              <w:bottom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4432" w:type="dxa"/>
            <w:tcBorders>
              <w:top w:val="single" w:color="000000" w:sz="6" w:space="0"/>
              <w:left w:val="single" w:color="000000" w:sz="6" w:space="0"/>
              <w:bottom w:val="single" w:color="000000" w:sz="6" w:space="0"/>
            </w:tcBorders>
            <w:noWrap w:val="0"/>
            <w:vAlign w:val="top"/>
          </w:tcPr>
          <w:p>
            <w:pPr>
              <w:pStyle w:val="11"/>
              <w:spacing w:line="238"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符合出口条件的重点软件企业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7"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321</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restart"/>
            <w:tcBorders>
              <w:top w:val="single" w:color="000000" w:sz="6" w:space="0"/>
              <w:left w:val="single" w:color="000000" w:sz="6" w:space="0"/>
              <w:right w:val="single" w:color="000000" w:sz="6" w:space="0"/>
            </w:tcBorders>
            <w:noWrap w:val="0"/>
            <w:vAlign w:val="top"/>
          </w:tcPr>
          <w:p>
            <w:pPr>
              <w:pStyle w:val="11"/>
              <w:spacing w:before="14" w:line="242" w:lineRule="auto"/>
              <w:ind w:left="115" w:right="84"/>
              <w:jc w:val="both"/>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嵌入式或信息系统集成软件产品企业</w:t>
            </w:r>
          </w:p>
        </w:tc>
        <w:tc>
          <w:tcPr>
            <w:tcW w:w="4432" w:type="dxa"/>
            <w:tcBorders>
              <w:top w:val="single" w:color="000000" w:sz="6" w:space="0"/>
              <w:left w:val="single" w:color="000000" w:sz="6" w:space="0"/>
              <w:bottom w:val="single" w:color="000000" w:sz="6" w:space="0"/>
            </w:tcBorders>
            <w:noWrap w:val="0"/>
            <w:vAlign w:val="top"/>
          </w:tcPr>
          <w:p>
            <w:pPr>
              <w:pStyle w:val="11"/>
              <w:spacing w:line="237"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符合条件的软件企业\国家鼓励的软件企业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6" w:hRule="atLeast"/>
        </w:trPr>
        <w:tc>
          <w:tcPr>
            <w:tcW w:w="941" w:type="dxa"/>
            <w:tcBorders>
              <w:top w:val="single" w:color="000000" w:sz="6" w:space="0"/>
              <w:bottom w:val="single" w:color="000000" w:sz="6" w:space="0"/>
              <w:right w:val="single" w:color="000000" w:sz="6" w:space="0"/>
            </w:tcBorders>
            <w:noWrap w:val="0"/>
            <w:vAlign w:val="top"/>
          </w:tcPr>
          <w:p>
            <w:pPr>
              <w:pStyle w:val="11"/>
              <w:spacing w:line="237"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322</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4432" w:type="dxa"/>
            <w:tcBorders>
              <w:top w:val="single" w:color="000000" w:sz="6" w:space="0"/>
              <w:left w:val="single" w:color="000000" w:sz="6" w:space="0"/>
              <w:bottom w:val="single" w:color="000000" w:sz="6" w:space="0"/>
            </w:tcBorders>
            <w:noWrap w:val="0"/>
            <w:vAlign w:val="top"/>
          </w:tcPr>
          <w:p>
            <w:pPr>
              <w:pStyle w:val="11"/>
              <w:spacing w:line="237"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符合规模条件的重点软件企业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8" w:hRule="atLeast"/>
        </w:trPr>
        <w:tc>
          <w:tcPr>
            <w:tcW w:w="941" w:type="dxa"/>
            <w:tcBorders>
              <w:top w:val="single" w:color="000000" w:sz="6" w:space="0"/>
              <w:bottom w:val="single" w:color="000000" w:sz="6" w:space="0"/>
              <w:right w:val="single" w:color="000000" w:sz="6" w:space="0"/>
            </w:tcBorders>
            <w:noWrap w:val="0"/>
            <w:vAlign w:val="top"/>
          </w:tcPr>
          <w:p>
            <w:pPr>
              <w:pStyle w:val="11"/>
              <w:spacing w:line="238"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323</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4432" w:type="dxa"/>
            <w:tcBorders>
              <w:top w:val="single" w:color="000000" w:sz="6" w:space="0"/>
              <w:left w:val="single" w:color="000000" w:sz="6" w:space="0"/>
              <w:bottom w:val="single" w:color="000000" w:sz="6" w:space="0"/>
            </w:tcBorders>
            <w:noWrap w:val="0"/>
            <w:vAlign w:val="top"/>
          </w:tcPr>
          <w:p>
            <w:pPr>
              <w:pStyle w:val="11"/>
              <w:spacing w:line="238"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符合领域条件的重点软件企业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64" w:hRule="atLeast"/>
        </w:trPr>
        <w:tc>
          <w:tcPr>
            <w:tcW w:w="941" w:type="dxa"/>
            <w:tcBorders>
              <w:top w:val="single" w:color="000000" w:sz="6" w:space="0"/>
              <w:right w:val="single" w:color="000000" w:sz="6" w:space="0"/>
            </w:tcBorders>
            <w:noWrap w:val="0"/>
            <w:vAlign w:val="top"/>
          </w:tcPr>
          <w:p>
            <w:pPr>
              <w:pStyle w:val="11"/>
              <w:spacing w:line="244"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324</w:t>
            </w:r>
          </w:p>
        </w:tc>
        <w:tc>
          <w:tcPr>
            <w:tcW w:w="2205"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1119" w:type="dxa"/>
            <w:vMerge w:val="continue"/>
            <w:tcBorders>
              <w:top w:val="nil"/>
              <w:left w:val="single" w:color="000000" w:sz="6" w:space="0"/>
              <w:right w:val="single" w:color="000000" w:sz="6" w:space="0"/>
            </w:tcBorders>
            <w:noWrap w:val="0"/>
            <w:vAlign w:val="top"/>
          </w:tcPr>
          <w:p>
            <w:pPr>
              <w:rPr>
                <w:rFonts w:hint="eastAsia" w:asciiTheme="minorEastAsia" w:hAnsiTheme="minorEastAsia" w:eastAsiaTheme="minorEastAsia" w:cstheme="minorEastAsia"/>
                <w:sz w:val="20"/>
                <w:szCs w:val="20"/>
              </w:rPr>
            </w:pPr>
          </w:p>
        </w:tc>
        <w:tc>
          <w:tcPr>
            <w:tcW w:w="4432" w:type="dxa"/>
            <w:tcBorders>
              <w:top w:val="single" w:color="000000" w:sz="6" w:space="0"/>
              <w:left w:val="single" w:color="000000" w:sz="6" w:space="0"/>
            </w:tcBorders>
            <w:noWrap w:val="0"/>
            <w:vAlign w:val="top"/>
          </w:tcPr>
          <w:p>
            <w:pPr>
              <w:pStyle w:val="11"/>
              <w:spacing w:line="244"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符合出口条件的重点软件企业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1" w:hRule="atLeast"/>
        </w:trPr>
        <w:tc>
          <w:tcPr>
            <w:tcW w:w="941" w:type="dxa"/>
            <w:tcBorders>
              <w:right w:val="single" w:color="000000" w:sz="6" w:space="0"/>
            </w:tcBorders>
            <w:noWrap w:val="0"/>
            <w:vAlign w:val="top"/>
          </w:tcPr>
          <w:p>
            <w:pPr>
              <w:pStyle w:val="11"/>
              <w:spacing w:line="251"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400</w:t>
            </w:r>
          </w:p>
        </w:tc>
        <w:tc>
          <w:tcPr>
            <w:tcW w:w="7756" w:type="dxa"/>
            <w:gridSpan w:val="3"/>
            <w:tcBorders>
              <w:left w:val="single" w:color="000000" w:sz="6" w:space="0"/>
            </w:tcBorders>
            <w:noWrap w:val="0"/>
            <w:vAlign w:val="top"/>
          </w:tcPr>
          <w:p>
            <w:pPr>
              <w:pStyle w:val="11"/>
              <w:spacing w:line="251"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集成电路封装、测试（含封装测试）企业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3" w:hRule="atLeast"/>
        </w:trPr>
        <w:tc>
          <w:tcPr>
            <w:tcW w:w="941" w:type="dxa"/>
            <w:tcBorders>
              <w:right w:val="single" w:color="000000" w:sz="6" w:space="0"/>
            </w:tcBorders>
            <w:noWrap w:val="0"/>
            <w:vAlign w:val="top"/>
          </w:tcPr>
          <w:p>
            <w:pPr>
              <w:pStyle w:val="11"/>
              <w:spacing w:before="1" w:line="252"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w:t>
            </w:r>
          </w:p>
        </w:tc>
        <w:tc>
          <w:tcPr>
            <w:tcW w:w="7756" w:type="dxa"/>
            <w:gridSpan w:val="3"/>
            <w:tcBorders>
              <w:left w:val="single" w:color="000000" w:sz="6" w:space="0"/>
            </w:tcBorders>
            <w:noWrap w:val="0"/>
            <w:vAlign w:val="top"/>
          </w:tcPr>
          <w:p>
            <w:pPr>
              <w:pStyle w:val="11"/>
              <w:spacing w:before="1" w:line="252"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集成电路材料（含关键专用材料）企业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1" w:hRule="atLeast"/>
        </w:trPr>
        <w:tc>
          <w:tcPr>
            <w:tcW w:w="941" w:type="dxa"/>
            <w:tcBorders>
              <w:right w:val="single" w:color="000000" w:sz="6" w:space="0"/>
            </w:tcBorders>
            <w:noWrap w:val="0"/>
            <w:vAlign w:val="top"/>
          </w:tcPr>
          <w:p>
            <w:pPr>
              <w:pStyle w:val="11"/>
              <w:spacing w:line="252" w:lineRule="exact"/>
              <w:ind w:left="291" w:right="272"/>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600</w:t>
            </w:r>
          </w:p>
        </w:tc>
        <w:tc>
          <w:tcPr>
            <w:tcW w:w="7756" w:type="dxa"/>
            <w:gridSpan w:val="3"/>
            <w:tcBorders>
              <w:left w:val="single" w:color="000000" w:sz="6" w:space="0"/>
            </w:tcBorders>
            <w:noWrap w:val="0"/>
            <w:vAlign w:val="top"/>
          </w:tcPr>
          <w:p>
            <w:pPr>
              <w:pStyle w:val="11"/>
              <w:spacing w:line="252" w:lineRule="exact"/>
              <w:ind w:left="114"/>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集成电路装备（含专用设备）企业</w:t>
            </w:r>
          </w:p>
        </w:tc>
      </w:tr>
    </w:tbl>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代码说明：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“集成电路生产企业”：符合《财政部 国家税务总局 发展改革委 工业和信息化部关于软件和集成电路产业企业所得税优惠政策有关问题的通知》（财税〔2016〕49 号）、《财政部 税务总局 国家发展改革委 工业和信息化部关于集成电路生产企业有关企业所得税政策问题的通知》（财税〔2018〕27 号）、《财政部 税务总局 发展改革委 工业和信息化部关于促进集成电路和软件产业高质量发展企业所得税政策的公告》（2020 年第 45 号）等文件规定的集成电路生产企业。具体说明如下：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（1）“线宽小于 0、8 微米（含）的企业”是指可以享受第一年至第二年免征企业所得税，第三年至第五年按照 25%的法定税率减半征收企业所得税优惠政策的集成电路线宽小于 0、8 微米（含）的集成电路生产企业。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（2）“线宽小于 0、25 微米的企业”是指可以享受第一年至第五年免征企业所得税，第六年至第十年按照 25%的法定税率减半征收企业所得税优惠政策的集成电路线宽小于 0、25 微米的集成电路生产企业。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（3）“投资额超过 80 亿元的企业”是指可以享受第一年至第五年免征企业所得税，第六年至第十年按照 25%的法定税率减半征收企业所得税优惠政策的投资额超过80 亿元的集成电路生产企业。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（4）“线宽小于 130 纳米（含）的企业”是指可以享受第一年至第二年免征企业所得税，第三年至第五年按照 25%的法定税率减半征收企业所得税优惠政策的集成电路线宽小于 130 纳米（含）的集成电路生产企业。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（5）“线宽小于 65 纳米（含）或投资额超过 150 亿元的企业”是指可以享受第一年至第五年免征企业所得税，第六年至第十年按照 25%的法定税率减半征收企业所得税优惠政策的集成电路线宽小于 65 纳米（含）或投资额超过 150 亿元的集成电路生产企业。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（6）“线宽小于 28 纳米（含）的企业”是指可以享受第一年至第十年免征企业所得税优惠政策的集成电路线宽小于 28 纳米（含）的集成电路生产企业。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“集成电路设计企业”：符合《财政部 国家税务总局 发展改革委 工业和信息化部关于软件和集成电路产业企业所得税优惠政策有关问题的通知》（财税〔2016〕49 号）、《财政部 税务总局关于集成电路设计和软件产业企业所得税政策的公告》（2019年第 68 号）、《财政部 税务总局关于集成电路设计企业和软件企业 2019 年度企业所得税汇算清缴适用政策的公告》（2020 年第 29 号）、《财政部 税务总局 发展改革委工业和信息化部关于促进集成电路和软件产业高质量发展企业所得税政策的公告》（2020 年第 45 号）等文件规定的集成电路设计企业、重点集成电路设计企业。具体说明如下：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（1）“新办符合条件的集成电路设计企业\国家鼓励的集成电路设计企业”是指可以享受第一年至第二年免征企业所得税，第三年至第五年按照 25%的法定税率减半征收企业所得税优惠政策的集成电路设计企业。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（2）“符合规模条件的重点集成电路设计企业”是指符合相关规模条件的规定， 可以享受第一年至第五年免征企业所得税、接续年度减按 10%的税率征收企业所得税优惠政策的国家鼓励的重点集成电路设计企业。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（3）“符合领域条件的重点集成电路设计企业”是指符合相关领域条件的规定， 可以享受第一年至第五年免征企业所得税、接续年度减按 10%的税率征收企业所得税优惠政策的国家鼓励的重点集成电路设计企业。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“软件企业”：符合《财政部 国家税务总局 发展改革委 工业和信息化部关于软件和集成电路产业企业所得税优惠政策有关问题的通知》（财税〔2016〕49 号）、《财政部 税务总局关于集成电路设计和软件产业企业所得税政策的公告》（2019 年第 68 号）、《财政部 税务总局关于集成电路设计企业和软件企业 2019 年度企业所得税汇算清缴适用政策的公告》（2020 年第 29 号）、《财政部 税务总局 发展改革委 工业和信息化部关于促进集成电路和软件产业高质量发展企业所得税政策的公告》（2020 年第 45 号）等文件规定的软件企业、重点软件企业。具体说明如下：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（1）“一般软件企业——符合条件的软件企业\国家鼓励的软件企业”是指可以享受第一年至第二年免征企业所得税，第三年至第五年按照 25%的法定税率减半征收企业所得税优惠政策的符合条件的软件企业。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（2）“一般软件企业——符合规模条件的重点软件企业” 是指企业软件产品符合相关规模条件的规定，可以享受第一年至第五年免征企业所得税、接续年度减按 10% 的税率征收企业所得税优惠政策的国家鼓励的重点软件企业。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（3）“一般软件企业——符合领域条件的重点软件企业” 是指符合相关领域条件的规定，可以享受第一年至第五年免征企业所得税、接续年度减按 10%的税率征收企业所得税优惠政策的国家鼓励的重点软件企业。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（4）“一般软件企业——符合出口条件的重点软件企业” 是指符合相关出口条件的规定，可以享受第一年至第五年免征企业所得税、接续年度减按 10%的税率征收企业所得税优惠政策的国家鼓励的重点软件企业。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（5）“嵌入式或信息系统集成软件产品企业——符合条件的软件企业\国家鼓励的软件企业”是指可以享受第一年至第二年免征企业所得税，第三年至第五年按照 25% 的法定税率减半征收企业所得税优惠政策的符合条件的软件企业。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（6）“嵌入式或信息系统集成软件产品企业——符合规模条件的重点软件企业” 是指企业嵌入式软件产品和信息系统集成产品符合相关规模条件的规定，可以享受第一年至第五年免征企业所得税、接续年度减按 10%的税率征收企业所得税优惠政策的国家鼓励的重点软件企业。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（7）“嵌入式或信息系统集成软件产品企业——符合领域条件的重点软件企业” 是指企业嵌入式软件产品和信息系统集成产品符合相关领域条件的规定，可以享受第一年至第五年免征企业所得税、接续年度减按 10%的税率征收企业所得税优惠政策的国家鼓励的重点软件企业。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（8）“嵌入式或信息系统集成软件产品企业——符合出口条件的重点软件企业” 是指企业嵌入式软件产品和信息系统集成产品符合相关出口条件的规定，可以享受第一年至第五年免征企业所得税、接续年度减按 10%的税率征收企业所得税优惠政策的国家鼓励的重点软件企业。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“集成电路封装、测试（含封装测试）企业”：符合《财政部 国家税务总局 发展改革委 工业和信息化部关于进一步鼓励集成电路产业发展企业所得税政策的通知》（财税〔2015〕6 号）、《财政部 税务总局 发展改革委 工业和信息化部关于促进集成电路和软件产业高质量发展企业所得税政策的公告》（2020 年第 45 号）文件规定可以享受企业所得税优惠政策的集成电路封装、测试（含封装测试）企业。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“集成电路材料（含关键专用材料）企业”：符合《财政部 国家税务总局 发展改革委 工业和信息化部关于进一步鼓励集成电路产业发展企业所得税政策的通知》（财税〔2015〕6 号）、《财政部 税务总局 发展改革委 工业和信息化部关于促进集成电路和软件产业高质量发展企业所得税政策的公告》（2020 年第 45 号）文件规定可以享受企业所得税优惠政策的材料（含集成电路关键专用材料）生产企业。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“集成电路装备（含专用设备）企业”：符合《财政部 国家税务总局 发展改革委 工业和信息化部关于进一步鼓励集成电路产业发展企业所得税政策的通知》（财税〔2015〕6 号）、《财政部 税务总局 发展改革委 工业和信息化部关于促进集成电路和软件产业高质量发展企业所得税政策的公告》（2020 年第 45 号）文件规定可以享受企业所得税优惠政策的集成电路装备（含专用设备）企业。</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9、“209 集成电路生产项目类型”：纳税人投资集成电路线宽小于 130 纳米（含）、集成电路线宽小于 65 纳米（含）或投资额超过 150 亿元、线宽小于 28 纳米（含）的集成电路生产项目，项目符合有关文件规定的税收优惠政策条件，且按照项目享受企业所得税优惠政策的，应填报本项。纳税人投资线宽小于 130 纳米（含）的集成电路生产项目的，选择“130 纳米（含）”，投资线宽小于 65 纳米（含）或投资额超过 150 亿元的集成电路生产项目的，选择“65 纳米”；投资线宽小于 28 纳米（含）的集成电路生产项目的，选择“28 纳米”；同时投资上述两类以上项目的，可同时选择。纳税人既符合“208 软件、集成电路企业类型”项目又符合“209 集成电路生产项目类型”项目填报条件的，应当同时填报。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10、“210 科技型中小企业”：纳税人根据申报所属期年度和申报所属期下一年度取得的科技型中小企业入库登记编号情况，填报本项目下的“210-1”“210-2”“210-3”“210-4”。如，纳税人在进行 2018 年度企业所得税汇算清缴纳税申报时，“210-1（申报所属期年度）入库编号”首先应当填列“2018 年（申报所属期年度）入库编号”，“210-3（所属期下一年度）入库编号”首先应当填列“2019 年（所属期下一年度）入库编号”。若纳税人在 2018 年 1 月 1 日至 2018 年 12 月 31 日之间取得科技型中小企业入库登记编号的，将相应的“编号”及“入库时间”分别填入“210-1”和“210-2” 项目中；若纳税人在 2019 年 1 月 1 日至 2018 年度汇算清缴纳税申报日之间取得科技型中小企业入库登记编号的，将相应的“编号”及“入库时间”分别填入“210-3”和“210-4”项目中。纳税人符合上述填报要求的，无论是否享受企业所得税优惠政策， 均应填报本项。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11、“211 高新技术企业申报所属期年度有效的高新技术企业证书”：纳税人根据申报所属期年度拥有的有效期内的高新技术企业证书情况，填报本项目下的“211-1”“211-2”“211-3”“211-4”。在申报所属期年度，如企业同时拥有两个高新技术企业证书，则两个证书情况均应填报。如：纳税人 2015 年 10 月取得高新技术企业证书，有效期 3 年，2018 年再次参加认定并于 2018 年 11 月取得新高新技术企业证书，纳税人在进行 2018 年度企业所得税汇算清缴纳税申报时，应将两个证书的“编号”及“发证时间”分别填入“211-1”“211-2”“211-3”“211-4”项目中。纳税人符合上述填报要求的，无论是否享受企业所得税优惠政策，均应填报本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12、“212 重组事项税务处理方式”：纳税人在申报所属期年度发生重组事项的， 应填报本项。纳税人重组事项按一般性税务处理的，选择“一般性”；重组事项按特殊性税务处理的，选择“特殊性”。</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13、“213 重组交易类型”和“214 重组当事方类型”：填报“212 重组事项税务处理方式”的纳税人，应当同时填报“213 重组交易类型”和“214 重组当事方类型”。纳税人根据重组情况从《重组交易类型和当事方类型代码表》中选择相应代码分别填入对应项目中。重组交易类型和当事方类型根据《财政部 国家税务总局关于企业重组业务企业所得税处理若干问题的通知》（财税〔2009〕59 号）、《财政部 国家税务总局关于促进企业重组有关企业所得税处理问题的通知》（财税〔2014〕109 号）、《国家税务总局关于企业重组业务企业所得税征收管理若干问题的公告》（2015 年第 48号发布，国家税务总局公告 2018 年第 31 号修改）等文件规定判断。</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14、“215 政策性搬迁开始时间”：纳税人发生政策性搬迁事项且申报所属期年度处在搬迁期内的，填报政策性搬迁开始的时间。</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15、“216 发生政策性搬迁且停止生产经营无所得年度”：纳税人的申报所属期年度处于政策性搬迁期内，且停止生产经营无所得的，选择“是”。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16、“217 政策性搬迁损失分期扣除年度”：纳税人发生政策性搬迁事项出现搬迁损失，按照《企业政策性搬迁所得税管理办法》（2012 年第 40 号发布）等有关规定选择自搬迁完成年度起分 3 个年度均匀在税前扣除的，且申报所属期年度处在分期扣除期间的，选择“是”。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17、“218 发生非货币性资产对外投资递延纳税事项”：纳税人在申报所属期年度发生非货币性资产对外投资递延纳税事项的，选择“是”。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18、“219 非货币性资产对外投资转让所得递延纳税年度”：纳税人以非货币性资产对外投资确认的非货币性资产转让所得，按照《财政部 国家税务总局关于非货币性资产投资企业所得税政策问题的通知》（财税〔2014〕116 号）、《国家税务总局关于非货币性资产投资企业所得税有关征管问题的公告》（2015 年第 33 号）等文件规定， 在不超过 5 年期限内分期均匀计入相应年度的应纳税所得额的，且申报所属期年度处在递延纳税期间的，选择“是”。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19、“220 发生技术成果投资入股递延纳税事项”：纳税人在申报所属期年度发生技术入股递延纳税事项的，选择“是”。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20、“221 技术成果投资入股递延纳税年度”：纳税人发生技术入股事项，按照《财政部 国家税务总局关于完善股权激励和技术入股有关所得税政策的通知》（财税〔2016〕101 号）、《国家税务总局关于股权激励和技术入股所得税征管问题的公告》（2016 年第 62 号）等文件规定选择适用递延纳税政策，即在投资入股当期暂不纳税， 递延至转让股权时按股权转让收入减去技术成果原值和合理税费后的差额计算缴纳所得税的，且申报所属期年度为转让股权年度的，选择“是”。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21、“222 发生资产（股权）划转特殊性税务处理事项”：纳税人在申报所属期年度发生《财政部 国家税务总局关于促进企业重组有关企业所得税处理问题的通知》（财税〔2014〕109 号）、《国家税务总局关于资产（股权）划转企业所得税征管问题的公告》（2015 年第 40 号）等文件规定的资产（股权）划转特殊性税务处理事项的，选择“是”。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22、“223 债务重组所得递延纳税年度”：纳税人债务重组确认的应纳税所得额按照《财政部 国家税务总局关于企业重组业务企业所得税处理若干问题的通知》（财税〔2009〕59 号）、《财政部 国家税务总局关于促进企业重组有关企业所得税处理问题的通知》（财税〔2014〕109 号）等文件规定，在 5 个纳税年度的期间内，均匀计入各年度的应纳税所得额的，且申报所属期年度处在递延纳税期间的，选择“是”。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lang w:eastAsia="zh-CN"/>
        </w:rPr>
        <w:t>三、主要股东及分红情况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纳税人填报本企业投资比例位列前 10 位的股东情况。包括股东名称，证件种类（营业执照、税务登记证、组织机构代码证、身份证、护照等），证件号码（统一社会信用代码、纳税人识别号、组织机构代码号、身份证号、护照号等），投资比例，当年（决议日）分配的股息、红利等权益性投资收益金额，国籍（注册地址）。纳税人股东数量超过 10 位的，应将其余股东有关数据合计后填入“其余股东合计”行次。</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纳税人股东为非居民企业的，证件种类和证件号码可不填报。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pStyle w:val="3"/>
        <w:bidi w:val="0"/>
        <w:rPr>
          <w:rFonts w:hint="eastAsia"/>
          <w:lang w:eastAsia="zh-CN"/>
        </w:rPr>
      </w:pPr>
      <w:r>
        <w:rPr>
          <w:rFonts w:hint="eastAsia"/>
          <w:lang w:eastAsia="zh-CN"/>
        </w:rPr>
        <w:t>A100000  中华人民共和国企业所得税年度纳税申报表（A类）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tbl>
      <w:tblPr>
        <w:tblStyle w:val="8"/>
        <w:tblW w:w="10515" w:type="dxa"/>
        <w:tblInd w:w="0" w:type="dxa"/>
        <w:shd w:val="clear" w:color="auto" w:fill="auto"/>
        <w:tblLayout w:type="autofit"/>
        <w:tblCellMar>
          <w:top w:w="0" w:type="dxa"/>
          <w:left w:w="0" w:type="dxa"/>
          <w:bottom w:w="0" w:type="dxa"/>
          <w:right w:w="0" w:type="dxa"/>
        </w:tblCellMar>
      </w:tblPr>
      <w:tblGrid>
        <w:gridCol w:w="615"/>
        <w:gridCol w:w="615"/>
        <w:gridCol w:w="7680"/>
        <w:gridCol w:w="1605"/>
      </w:tblGrid>
      <w:tr>
        <w:tblPrEx>
          <w:tblCellMar>
            <w:top w:w="0" w:type="dxa"/>
            <w:left w:w="0" w:type="dxa"/>
            <w:bottom w:w="0" w:type="dxa"/>
            <w:right w:w="0" w:type="dxa"/>
          </w:tblCellMar>
        </w:tblPrEx>
        <w:trPr>
          <w:trHeight w:val="465" w:hRule="atLeast"/>
        </w:trPr>
        <w:tc>
          <w:tcPr>
            <w:tcW w:w="615" w:type="dxa"/>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61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类别</w:t>
            </w:r>
          </w:p>
        </w:tc>
        <w:tc>
          <w:tcPr>
            <w:tcW w:w="7680" w:type="dxa"/>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        目</w:t>
            </w:r>
          </w:p>
        </w:tc>
        <w:tc>
          <w:tcPr>
            <w:tcW w:w="1605" w:type="dxa"/>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    额</w:t>
            </w: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615" w:type="dxa"/>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利润总额计算</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一、营业收入(填写A101010\101020\103000)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减：营业成本(填写A102010\102020\103000)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减：税金及附加</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减：销售费用(填写A104000)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减：管理费用(填写</w:t>
            </w:r>
            <w:r>
              <w:rPr>
                <w:rStyle w:val="15"/>
                <w:lang w:val="en-US" w:eastAsia="zh-CN" w:bidi="ar"/>
              </w:rPr>
              <w:t>A104000)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减：财务费用(填写</w:t>
            </w:r>
            <w:r>
              <w:rPr>
                <w:rStyle w:val="15"/>
                <w:lang w:val="en-US" w:eastAsia="zh-CN" w:bidi="ar"/>
              </w:rPr>
              <w:t>A104000)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减：资产减值损失</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6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加：公允价值变动收益</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加：投资收益</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二、营业利润(1-2-3-4-5-6-7+8+9)</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加：营业外收入(填写A101010\101020\103000)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减：营业外支出(填写A102010\102020\103000)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三、利润总额（10+11-12）</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615" w:type="dxa"/>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应纳税所得额计算</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减：境外所得（填写A108010）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加：纳税调整增加额（填写A105000）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减：纳税调整减少额（填写A105000）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减：免税、减计收入及加计扣除（填写A107010）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加：境外应税所得抵减境内亏损（填写A108000）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四、纳税调整后所得（13-14+15-16-17+18）</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减：所得减免（填写A107020）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减：弥补以前年度亏损（填写A106000）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减：抵扣应纳税所得额（填写A107030）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五、应纳税所得额（19-20-21-22）</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66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615" w:type="dxa"/>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应纳税额计算</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税率（25%）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6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六、应纳所得税额（23×24）</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减：减免所得税额（填写A107040）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减：抵免所得税额（填写A107050）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七、应纳税额（25-26-27）</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加：境外所得应纳所得税额（填写A108000）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减：境外所得抵免所得税额（填写A108000）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八、实际应纳所得税额（28+29-30）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减：本年累计实际已缴纳的所得税额</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九、本年应补（退）所得税额（31-32）</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768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ind w:firstLineChars="2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其中：总机构分摊本年应补（退）所得税额(填写A109000)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768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ind w:firstLineChars="5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财政集中分配本年应补（退）所得税额(填写A109000)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615" w:type="dxa"/>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768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ind w:firstLineChars="5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总机构主体生产经营部门分摊本年应补（退）所得税额(填写A109000)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bl>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p>
    <w:p>
      <w:pPr>
        <w:pStyle w:val="4"/>
        <w:bidi w:val="0"/>
        <w:rPr>
          <w:rFonts w:hint="eastAsia"/>
          <w:lang w:eastAsia="zh-CN"/>
        </w:rPr>
      </w:pPr>
      <w:r>
        <w:rPr>
          <w:rFonts w:hint="eastAsia"/>
          <w:lang w:eastAsia="zh-CN"/>
        </w:rPr>
        <w:t>A100000 《中华人民共和国企业所得税年度纳税申报表（A 类）》填报说明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为企业所得税年度纳税申报表的主表，纳税人应当根据《中华人民共和国企业所得税法》及其实施条例（以下简称“税法”）、相关税收政策，以及国家统一会计制度（企业会计准则、小企业会计准则、企业会计制度、事业单位会计准则和民间非营利组织会计制度等）的规定，计算填报利润总额、应纳税所得额和应纳税额等有关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纳税人在计算企业所得税应纳税所得额及应纳税额时，会计处理与税收规定不一致的，应当按照税收规定计算。税收规定不明确的，在没有明确规定之前，暂按国家统一会计制度计算。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（一）表体项目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本表是在纳税人会计利润总额的基础上，加减纳税调整等金额后计算出“纳税调整后所得”。会计与税法的差异（包括收入类、扣除类、资产类等差异）通过《纳税调整项目明细表》(A105000）集中填报。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本表包括利润总额计算、应纳税所得额计算、应纳税额计算三个部分。</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利润总额计算”中的项目，按照国家统一会计制度规定计算填报。实行企业会计准则、小企业会计准则、企业会计制度、分行业会计制度的纳税人，其数据直接取自《利润表》（另有说明的除外）；实行事业单位会计准则的纳税人，其数据取自《收入支出表》；实行民间非营利组织会计制度的纳税人，其数据取自《业务活动表》； 实行其他国家统一会计制度的纳税人，根据本表项目进行分析填报。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2、“应纳税所得额计算”和“应纳税额计算”中的项目，除根据主表逻辑关系计算以外，通过附表相应栏次填报。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（二）行次说明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第 1-13 行参照国家统一会计制度规定填写。本部分未设“研发费用”“其他收益”“资产处置收益”等项目，对于已执行《财政部关于修订印发 2019 年度一般企业财务报表格式的通知》（财会〔2019〕6 号）的纳税人，在《利润表》中归集的“研发费用”通过《期间费用明细表》（A104000）第 19 行“十九、研究费用”的管理费用相应列次填报；在《利润表》中归集的“其他收益”“资产处置收益”“信用减值损失”“净敞口套期收益”项目则无需填报，同时第 10 行“二、营业利润”不执行“第 10 行＝第1-2-3-4-5-6-7+8+9 行”的表内关系，按照《利润表》“营业利润”项目直接填报。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1、第 1 行“营业收入”：填报纳税人主要经营业务和其他经营业务取得的收入总额。本行根据“主营业务收入”和“其他业务收入”的数额填报。一般企业纳税人根据《一般企业收入明细表》（A101010）填报；金融企业纳税人根据《金融企业收入明细表》(A101020)填报；事业单位、社会团体、民办非企业单位、非营利组织等纳税人根据《事业单位、民间非营利组织收入、支出明细表》(A103000)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2、第 2 行“营业成本”：填报纳税人主要经营业务和其他经营业务发生的成本总额。本行根据“主营业务成本”和“其他业务成本”的数额填报。一般企业纳税人根据《一般企业成本支出明细表》(A102010)填报；金融企业纳税人根据《金融企业支出明细表》(A102020)填报；事业单位、社会团体、民办非企业单位、非营利组织等纳税人，根据《事业单位、民间非营利组织收入、支出明细表》(A103000)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3、第 3 行“税金及附加”：填报纳税人经营活动发生的消费税、城市维护建设税、资源税、土地增值税和教育费附加等相关税费。本行根据纳税人相关会计科目填报。纳税人在其他会计科目核算的税金不得重复填报。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4、第 4 行“销售费用”：填报纳税人在销售商品和材料、提供劳务的过程中发生的各种费用。本行根据《期间费用明细表》（A104000）中对应的“销售费用”填报。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5、第 5 行“管理费用”：填报纳税人为组织和管理企业生产经营发生的管理费用。本行根据《期间费用明细表》（A104000）中对应的“管理费用”填报。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6、第 6 行“财务费用”：填报纳税人为筹集生产经营所需资金等发生的筹资费用。本行根据《期间费用明细表》（A104000）中对应的“财务费用”填报。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7、第 7 行“资产减值损失”：填报纳税人计提各项资产准备发生的减值损失。本行根据企业“资产减值损失”科目上的数额填报。实行其他会计制度的比照填报。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8、第 8 行“公允价值变动收益”：填报纳税人在初始确认时划分为以公允价值计量且其变动计入当期损益的金融资产或金融负债（包括交易性金融资产或负债，直接指定为以公允价值计量且其变动计入当期损益的金融资产或金融负债），以及采用公允价值模式计量的投资性房地产、衍生工具和套期业务中公允价值变动形成的应计入当期损益的利得或损失。本行根据企业“公允价值变动损益”科目的数额填报，损失以“-”号填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9、第 9 行“投资收益”：填报纳税人以各种方式对外投资所取得的收益或发生的损失。根据企业“投资收益”科目的数额计算填报，实行事业单位会计准则的纳税人根据“其他收入”科目中的投资收益金额分析填报，损失以“-”号填列。实行其他会计制度的纳税人比照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10、第 10 行“营业利润”：填报纳税人当期的营业利润。根据上述项目计算填报。已执行《财政部关于修订印发 2019 年度一般企业财务报表格式的通知》（财会〔2019〕6 号）和《财政部关于修订印发 2018 年度金融企业财务报表格式的通知》（财会〔2018〕36 号）的纳税人，根据《利润表》对应项目填列，不执行本行计算规则。</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11、第 11 行“营业外收入”：填报纳税人取得的与其经营活动无直接关系的各项收入的金额。一般企业纳税人根据《一般企业收入明细表》（A101010）填报；金融企业纳税人根据《金融企业收入明细表》(A101020)填报；实行事业单位会计准则或民间非营利组织会计制度的纳税人根据《事业单位、民间非营利组织收入、支出明细表》(A103000)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12、第 12 行“营业外支出”：填报纳税人发生的与其经营活动无直接关系的各项支出的金额。一般企业纳税人根据《一般企业成本支出明细表》(A102010)填报；金融企业纳税人根据《金融企业支出明细表》(A102020)填报；实行事业单位会计准则或民间非营利组织会计制度的纳税人根据《事业单位、民间非营利组织收入、支出明细表》(A103000)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13、第 13 行“利润总额”：填报纳税人当期的利润总额。根据上述项目计算填报。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14、第 14 行“境外所得”：填报已计入利润总额以及按照税法相关规定已在《纳税调整项目明细表》（A105000）进行纳税调整的境外所得金额。本行根据《境外所得纳税调整后所得明细表》(A108010)填报。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15、第 15 行“纳税调整增加额”：填报纳税人会计处理与税收规定不一致，进行纳税调整增加的金额。本行根据《纳税调整项目明细表》（A105000）“调增金额”列填报。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16、第 16 行“纳税调整减少额”：填报纳税人会计处理与税收规定不一致，进行纳税调整减少的金额。本行根据《纳税调整项目明细表》（A105000）“调减金额”列填报。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17、第 17 行“免税、减计收入及加计扣除”：填报属于税收规定免税收入、减计收入、加计扣除金额。本行根据《免税、减计收入及加计扣除优惠明细表》（A107010） 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18、第 18 行“境外应税所得抵减境内亏损”：当纳税人选择不用境外所得抵减境内亏损时，填报 0；当纳税人选择用境外所得抵减境内亏损时，填报境外所得抵减当年度境内亏损的金额。用境外所得弥补以前年度境内亏损的,还需填报《企业所得税弥补亏损明细表》（A106000）和《境外所得税收抵免明细表》（A108000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19、第 19 行“纳税调整后所得”：填报纳税人经过纳税调整、税收优惠、境外所得计算后的所得额。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20、第 20 行“所得减免”：填报属于税收规定的所得减免金额。本行根据《所得减免优惠明细表》（A107020）填报。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21、第 21 行“弥补以前年度亏损”：填报纳税人按照税收规定可在税前弥补的以前年度亏损数额。本行根据《企业所得税弥补亏损明细表》（A106000）填报。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22、第 22 行“抵扣应纳税所得额”：填报根据税收规定应抵扣的应纳税所得额。本行根据《抵扣应纳税所得额明细表》（A107030）填报。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23、第 23 行“应纳税所得额”：填报第 19-20-21-22 行金额。按照上述行次顺序计算结果为负数的，本行按 0 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24、第 24 行“税率”：填报税收规定的税率 25%。</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25、第 25 行“应纳所得税额”：填报第 23×24 行金额。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26、第 26 行“减免所得税额”：填报纳税人按税收规定实际减免的企业所得税额。本行根据《减免所得税优惠明细表》（A107040）填报。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27、第 27 行“抵免所得税额”：填报企业当年的应纳所得税额中抵免的金额。本行根据《税额抵免优惠明细表》（A107050）填报。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28、第 28 行“应纳税额”：填报第 25-26-27 行金额。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29、第 29 行“境外所得应纳所得税额”：填报纳税人来源于中国境外的所得，按照我国税收规定计算的应纳所得税额。本行根据《境外所得税收抵免明细表》（A108000） 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30、第 30 行“境外所得抵免所得税额”：填报纳税人来源于中国境外所得依照中国境外税收法律以及相关规定应缴纳并实际缴纳（包括视同已实际缴纳）的企业所得税性质的税款（准予抵免税款）。本行根据《境外所得税收抵免明细表》（A108000） 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31、第 31 行“实际应纳所得税额”：填报第 28+29-30 行金额。其中，跨地区经营企业类型为“分支机构（须进行完整年度申报并按比例纳税）”的纳税人，填报（第28+29-30 行）×“分支机构就地纳税比例”金额。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32、第 32 行“本年累计实际已缴纳的所得税额”：填报纳税人按照税收规定本纳税年度已在月（季）度累计预缴的所得税额，包括按照税收规定的特定业务已预缴（征） 的所得税额，建筑企业总机构直接管理的跨地区设立的项目部按规定向项目所在地主管税务机关预缴的所得税额。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33、第 33 行“本年应补（退）的所得税额”：填报第 31-32 行金额。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34、第 34 行“总机构分摊本年应补（退）所得税额”：填报汇总纳税的总机构按照税收规定在总机构所在地分摊本年应补（退）所得税额。本行根据《跨地区经营汇总纳税企业年度分摊企业所得税明细表》（A109000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35、第 35 行“财政集中分配本年应补（退）所得税额”：填报汇总纳税的总机构按照税收规定财政集中分配本年应补（退）所得税款。本行根据《跨地区经营汇总纳税企业年度分摊企业所得税明细表》（A109000）填报。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36、第 36 行“总机构主体生产经营部门分摊本年应补（退）所得税额”：填报汇总纳税的总机构所属的具有主体生产经营职能的部门按照税收规定应分摊的本年应补（退）所得税额。本行根据《跨地区经营汇总纳税企业年度分摊企业所得税明细表》（A109000）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1、第 10 行＝第 1-2-3-4-5-6-7+8+9 行。已执行财会〔2019〕6 号和财会〔2018〕36 号的纳税人，不执行本规则。</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2、第 13 行＝第 10+11-12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3、第 19 行＝第 13-14+15-16-17+18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4、第 23 行＝第 19-20-21-22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5、第 25 行＝第 23×24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6、第 28 行＝第 25-26-27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7、第 31 行＝第 28+29-30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其中，跨地区经营企业类型为“分支机构（须进行完整年度申报并按比例纳税）”的纳税人，第 31 行＝（第 28+29-30 行）×表 A000000“102 分支机构就地纳税比例”。</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8、第 33 行＝第 31-32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1、第 1 行＝表 A101010 第 1 行或表 A101020 第 1 行或表 A103000 第 2+3+4+5+6 行或表 A103000 第 11+12+13+14+15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2、第 2 行＝表 A102010 第 1 行或表 A102020 第 1 行或表 A103000 第 19+20+21+22 行或表 A103000 第 25+26+27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3、第 4 行＝表 A104000 第 26 行第 1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4、第 5 行＝表 A104000 第 26 行第 3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5、第 6 行＝表 A104000 第 26 行第 5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6、第 9 行＝表 A103000 第 8 行或者第 16 行（仅限于填报表 A103000 的纳税人，其他纳税人根据财务核算情况自行填写）。</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7、第 11 行＝表A101010 第 16 行或表A101020 第 35 行或表A103000 第 9 行或第 17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8、第 12 行＝表 A102010 第 16 行或表 A102020 第 33 行或表 A103000 第 23 行或第28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9、第 14 行＝表 A108010 第 14 列合计-第 11 列合计。</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10、第 15 行＝表 A105000 第 46 行第 3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11、第 16 行＝表 A105000 第 46 行第 4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12、第 17 行＝表 A107010 第 31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13、第 18 行：（1）当第 13-14+15-16-17 行≥0,第 18 行＝0；（2）当第 13-14+15-16-17＜0 且表 A108000 第 5 列合计行≥0,表 A108000 第 6 列合计行＞0 时,第 18 行＝表 A108000 第 5 列合计行与表 A100000 第13-14+15-16-17 行绝对值的孰小值；（3）当第 13-14+15-16-17＜0 且表 A108000 第 5 列合计行≥0,表 A108000 第 6 列合计行＝0 时,第 18 行＝0。</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14、第 20 行：当第 19 行≤0 时，第 20 行＝0； 当第 19 行＞0 时，（1）第 19 行≥表 A107020 合计行第 11 列，第 20 行＝表 A107020 合计行第 11 列；（2）第 19 行＜表 A107020 合计行第 11 列，第 20 行＝第 19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15、第 21 行＝表 A106000 第 11 行第 10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16、第 22 行＝表 A107030 第 15 行第 1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17、第 26 行＝表 A107040 第 34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18、第 27 行＝表 A107050 第 7 行第 11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19、第 29 行＝表 A108000 合计行第 9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20、第 30 行＝表 A108000 合计行第 19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21、第 34 行＝表 A109000 第 12+16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22、第 35 行＝表 A109000 第 13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lang w:eastAsia="zh-CN"/>
        </w:rPr>
        <w:t>23、第 36 行＝表 A109000 第 15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b w:val="0"/>
          <w:bCs w:val="0"/>
          <w:sz w:val="21"/>
          <w:szCs w:val="21"/>
          <w:lang w:eastAsia="zh-CN"/>
        </w:rPr>
      </w:pPr>
    </w:p>
    <w:p>
      <w:pPr>
        <w:pStyle w:val="3"/>
        <w:bidi w:val="0"/>
        <w:rPr>
          <w:rFonts w:hint="eastAsia" w:ascii="微软雅黑" w:hAnsi="微软雅黑" w:eastAsia="微软雅黑" w:cs="微软雅黑"/>
          <w:b/>
          <w:bCs/>
          <w:sz w:val="36"/>
          <w:szCs w:val="36"/>
          <w:lang w:eastAsia="zh-CN"/>
        </w:rPr>
      </w:pPr>
      <w:r>
        <w:rPr>
          <w:rFonts w:hint="eastAsia"/>
          <w:lang w:eastAsia="zh-CN"/>
        </w:rPr>
        <w:t>A101010</w:t>
      </w:r>
      <w:r>
        <w:rPr>
          <w:rFonts w:hint="eastAsia"/>
          <w:lang w:eastAsia="zh-CN"/>
        </w:rPr>
        <w:tab/>
      </w:r>
      <w:r>
        <w:rPr>
          <w:rFonts w:hint="eastAsia"/>
          <w:lang w:eastAsia="zh-CN"/>
        </w:rPr>
        <w:t>一般企业收入明细表</w:t>
      </w:r>
    </w:p>
    <w:tbl>
      <w:tblPr>
        <w:tblStyle w:val="8"/>
        <w:tblW w:w="96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0"/>
        <w:gridCol w:w="6760"/>
        <w:gridCol w:w="230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6760" w:type="dxa"/>
            <w:noWrap w:val="0"/>
            <w:vAlign w:val="center"/>
          </w:tcPr>
          <w:p>
            <w:pPr>
              <w:widowControl/>
              <w:ind w:left="2520" w:leftChars="1200" w:right="2520" w:rightChars="1200"/>
              <w:jc w:val="distribute"/>
              <w:rPr>
                <w:rFonts w:ascii="宋体" w:hAnsi="宋体" w:cs="宋体"/>
                <w:kern w:val="0"/>
                <w:sz w:val="20"/>
                <w:szCs w:val="20"/>
              </w:rPr>
            </w:pPr>
            <w:r>
              <w:rPr>
                <w:rFonts w:hint="eastAsia" w:ascii="宋体" w:hAnsi="宋体" w:cs="宋体"/>
                <w:kern w:val="0"/>
                <w:sz w:val="20"/>
                <w:szCs w:val="20"/>
              </w:rPr>
              <w:t>项目</w:t>
            </w:r>
          </w:p>
        </w:tc>
        <w:tc>
          <w:tcPr>
            <w:tcW w:w="2300" w:type="dxa"/>
            <w:noWrap w:val="0"/>
            <w:vAlign w:val="center"/>
          </w:tcPr>
          <w:p>
            <w:pPr>
              <w:widowControl/>
              <w:jc w:val="center"/>
              <w:rPr>
                <w:rFonts w:ascii="宋体" w:hAnsi="宋体" w:cs="宋体"/>
                <w:kern w:val="0"/>
                <w:sz w:val="20"/>
                <w:szCs w:val="20"/>
              </w:rPr>
            </w:pPr>
            <w:r>
              <w:rPr>
                <w:rFonts w:hint="eastAsia" w:ascii="宋体" w:hAnsi="宋体" w:cs="宋体"/>
                <w:spacing w:val="300"/>
                <w:kern w:val="0"/>
                <w:sz w:val="20"/>
                <w:szCs w:val="20"/>
                <w:fitText w:val="1000" w:id="833574564"/>
              </w:rPr>
              <w:t>金</w:t>
            </w:r>
            <w:r>
              <w:rPr>
                <w:rFonts w:hint="eastAsia" w:ascii="宋体" w:hAnsi="宋体" w:cs="宋体"/>
                <w:spacing w:val="0"/>
                <w:kern w:val="0"/>
                <w:sz w:val="20"/>
                <w:szCs w:val="20"/>
                <w:fitText w:val="1000" w:id="833574564"/>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一、营业收入（2+9）</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（一）主营业务收入（3+5+6+7+8）</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销售商品收入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6760" w:type="dxa"/>
            <w:noWrap w:val="0"/>
            <w:vAlign w:val="center"/>
          </w:tcPr>
          <w:p>
            <w:pPr>
              <w:widowControl/>
              <w:ind w:firstLine="1000" w:firstLineChars="500"/>
              <w:jc w:val="left"/>
              <w:rPr>
                <w:rFonts w:ascii="宋体" w:hAnsi="宋体" w:cs="宋体"/>
                <w:kern w:val="0"/>
                <w:sz w:val="20"/>
                <w:szCs w:val="20"/>
              </w:rPr>
            </w:pPr>
            <w:r>
              <w:rPr>
                <w:rFonts w:hint="eastAsia" w:ascii="宋体" w:hAnsi="宋体" w:cs="宋体"/>
                <w:kern w:val="0"/>
                <w:sz w:val="20"/>
                <w:szCs w:val="20"/>
              </w:rPr>
              <w:t>其中：非货币性资产交换收入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提供劳务收入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建造合同收入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4</w:t>
            </w:r>
            <w:r>
              <w:rPr>
                <w:rFonts w:hint="eastAsia" w:ascii="宋体" w:hAnsi="宋体" w:eastAsia="宋体" w:cs="宋体"/>
                <w:kern w:val="0"/>
                <w:sz w:val="20"/>
                <w:szCs w:val="20"/>
                <w:lang w:eastAsia="zh-CN"/>
              </w:rPr>
              <w:t>、</w:t>
            </w:r>
            <w:r>
              <w:rPr>
                <w:rFonts w:hint="eastAsia" w:ascii="宋体" w:hAnsi="宋体" w:cs="宋体"/>
                <w:kern w:val="0"/>
                <w:sz w:val="20"/>
                <w:szCs w:val="20"/>
              </w:rPr>
              <w:t>让渡资产使用权收入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5</w:t>
            </w:r>
            <w:r>
              <w:rPr>
                <w:rFonts w:hint="eastAsia" w:ascii="宋体" w:hAnsi="宋体" w:eastAsia="宋体" w:cs="宋体"/>
                <w:kern w:val="0"/>
                <w:sz w:val="20"/>
                <w:szCs w:val="20"/>
                <w:lang w:eastAsia="zh-CN"/>
              </w:rPr>
              <w:t>、</w:t>
            </w:r>
            <w:r>
              <w:rPr>
                <w:rFonts w:hint="eastAsia" w:ascii="宋体" w:hAnsi="宋体" w:cs="宋体"/>
                <w:kern w:val="0"/>
                <w:sz w:val="20"/>
                <w:szCs w:val="20"/>
              </w:rPr>
              <w:t>其他</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（二）其他业务收入（10+12+13+14+15）</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销售材料收入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6760" w:type="dxa"/>
            <w:noWrap w:val="0"/>
            <w:vAlign w:val="center"/>
          </w:tcPr>
          <w:p>
            <w:pPr>
              <w:widowControl/>
              <w:ind w:firstLine="1000" w:firstLineChars="500"/>
              <w:jc w:val="left"/>
              <w:rPr>
                <w:rFonts w:ascii="宋体" w:hAnsi="宋体" w:cs="宋体"/>
                <w:kern w:val="0"/>
                <w:sz w:val="20"/>
                <w:szCs w:val="20"/>
              </w:rPr>
            </w:pPr>
            <w:r>
              <w:rPr>
                <w:rFonts w:hint="eastAsia" w:ascii="宋体" w:hAnsi="宋体" w:cs="宋体"/>
                <w:kern w:val="0"/>
                <w:sz w:val="20"/>
                <w:szCs w:val="20"/>
              </w:rPr>
              <w:t>其中：非货币性资产交换收入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出租固定资产收入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出租无形资产收入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4</w:t>
            </w:r>
            <w:r>
              <w:rPr>
                <w:rFonts w:hint="eastAsia" w:ascii="宋体" w:hAnsi="宋体" w:eastAsia="宋体" w:cs="宋体"/>
                <w:kern w:val="0"/>
                <w:sz w:val="20"/>
                <w:szCs w:val="20"/>
                <w:lang w:eastAsia="zh-CN"/>
              </w:rPr>
              <w:t>、</w:t>
            </w:r>
            <w:r>
              <w:rPr>
                <w:rFonts w:hint="eastAsia" w:ascii="宋体" w:hAnsi="宋体" w:cs="宋体"/>
                <w:kern w:val="0"/>
                <w:sz w:val="20"/>
                <w:szCs w:val="20"/>
              </w:rPr>
              <w:t>出租包装物和商品收入</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6760"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5</w:t>
            </w:r>
            <w:r>
              <w:rPr>
                <w:rFonts w:hint="eastAsia" w:ascii="宋体" w:hAnsi="宋体" w:eastAsia="宋体" w:cs="宋体"/>
                <w:kern w:val="0"/>
                <w:sz w:val="20"/>
                <w:szCs w:val="20"/>
                <w:lang w:eastAsia="zh-CN"/>
              </w:rPr>
              <w:t>、</w:t>
            </w:r>
            <w:r>
              <w:rPr>
                <w:rFonts w:hint="eastAsia" w:ascii="宋体" w:hAnsi="宋体" w:cs="宋体"/>
                <w:kern w:val="0"/>
                <w:sz w:val="20"/>
                <w:szCs w:val="20"/>
              </w:rPr>
              <w:t>其他</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二、营业外收入（17+18+19+20+21+22+23+24+25+26）</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（一）非流动资产处置利得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（二）非货币性资产交换利得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（三）债务重组利得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（四）政府补助利得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（五）盘盈利得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（六）捐赠利得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（七）罚没利得</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（八）确实无法偿付的应付款项</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（九）汇兑收益</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676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（十）其他</w:t>
            </w:r>
          </w:p>
        </w:tc>
        <w:tc>
          <w:tcPr>
            <w:tcW w:w="230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bl>
    <w:p>
      <w:pPr>
        <w:pStyle w:val="4"/>
        <w:bidi w:val="0"/>
        <w:rPr>
          <w:rFonts w:hint="eastAsia"/>
          <w:lang w:eastAsia="zh-CN"/>
        </w:rPr>
      </w:pPr>
      <w:r>
        <w:rPr>
          <w:rFonts w:hint="eastAsia"/>
          <w:lang w:eastAsia="zh-CN"/>
        </w:rPr>
        <w:t>A101010</w:t>
      </w:r>
      <w:r>
        <w:rPr>
          <w:rFonts w:hint="eastAsia"/>
          <w:lang w:eastAsia="zh-CN"/>
        </w:rPr>
        <w:tab/>
      </w:r>
      <w:r>
        <w:rPr>
          <w:rFonts w:hint="eastAsia"/>
          <w:lang w:eastAsia="zh-CN"/>
        </w:rPr>
        <w:t>《一般企业收入明细表》填报说明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本表适用于除金融企业、事业单位和民间非营利组织外的企业填报。纳税人应根据国家统一会计制度的规定，填报“主营业务收入”“其他业务收入”和“营业外收入”。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1、第1行“营业收入”：根据主营业务收入、其他业务收入的数额计算填报。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2、第2行“主营业务收入”：根据不同行业的业务性质分别填报纳税人核算的主营业务收入。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3、第3行“销售商品收入”：填报纳税人从事工业制造、商品流通、农业生产以及其他商品销售活动取得的主营业务收入。房地产开发企业销售开发产品（销售未完工开发产品除外）取得的收入也在此行填报。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4、第4行“其中：非货币性资产交换收入”：填报纳税人发生的非货币性资产交换按照国家统一会计制度应确认的销售商品收入。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行“提供劳务收入”：填报纳税人从事建筑安装、修理修配、交通运输、仓储租赁、邮电通信、咨询经纪、文化体育、科学研究、技术服务、教育培训、餐饮住宿、中介代理、卫生保健、社区服务、旅游、娱乐、加工以及其他劳务活动取得的主营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6、第6行“建造合同收入”：填报纳税人建造房屋、道路、桥梁、水坝等建筑物，以及生产船舶、飞机、大型机械设备等取得的主营业务收入。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7、第7行“让渡资产使用权收入”：填报纳税人在主营业务收入核算的，让渡无形资产使用权而取得的使用费收入以及出租固定资产、无形资产、投资性房地产取得的租金收入。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8、第8行“其他”：填报纳税人按照国家统一会计制度核算、上述未列举的其他主营业务收入。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9、第9行“其他业务收入”：填报根据不同行业的业务性质分别填报纳税人核算的其他业务收入。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10、第10行“销售材料收入”：填报纳税人销售材料、下脚料、废料、废旧物资等取得的收入。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11、第11行“其中：非货币性资产交换收入”：填报纳税人发生的非货币性资产交换按照国家统一会计制度应确认的材料销售收入。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12、第12行“出租固定资产收入”：填报纳税人将固定资产使用权让与承租人获取的其他业务收入。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13、第13行“出租无形资产收入”：填报纳税人让渡无形资产使用权取得的其他业务收入。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14、第14行“出租包装物和商品收入”：填报纳税人出租、出借包装物和商品取得的其他业务收入。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15、第15行“其他”：填报纳税人按照国家统一会计制度核算，上述未列举的其他业务收入。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16、第16行“营业外收入”：填报纳税人计入本科目核算的与生产经营无直接关系的各项收入。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17、第17行“非流动资产处置利得”：填报纳税人处置固定资产、无形资产等取得的净收益。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18、第18行“非货币性资产交换利得”：填报纳税人发生非货币性资产交换应确认的净收益。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19、第19行“债务重组利得”：填报纳税人发生的债务重组业务确认的净收益。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20、第20行“政府补助利得”：填报纳税人从政府无偿取得货币性资产或非货币性资产应确认的净收益。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21、第21行“盘盈利得”：填报纳税人在清查财产过程中查明的各种财产盘盈应确认的净收益。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22、第22行“捐赠利得”：填报纳税人接受的来自企业、组织或个人无偿给予的货币性资产、非货币性资产捐赠应确认的净收益。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23、第23行“罚没利得”：填报纳税人在日常经营管理活动中取得的罚款、没收收入应确认的净收益。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24、第24行“确实无法偿付的应付款项”：填报纳税人因确实无法偿付的应付款项而确认的收入。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25、第25行“汇兑收益”：填报纳税人取得企业外币货币性项目因汇率变动形成的收益应确认的收入。（该项目为执行小企业会计准则企业填报）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26行“其他”：填报纳税人取得的上述项目未列举的其他营业外收入，包括执行企业会计准则纳税人按权益法核算长期股权投资对初始投资成本调整确认的收益，执行小企业会计准则纳税人取得的出租包装物和商品的租金收入、逾期未退包装物押金收益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1、第1行＝第2+9行。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2、第2行＝第3+5+6+7+8行。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3、第9行＝第10+12+13+14+15行。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4、第16行＝第17+18+19+20+21+22+23+24+25+26行。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1、第1行＝表A100000第1行。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4"/>
          <w:szCs w:val="24"/>
          <w:lang w:eastAsia="zh-CN"/>
        </w:rPr>
      </w:pPr>
      <w:r>
        <w:rPr>
          <w:rFonts w:hint="eastAsia" w:ascii="微软雅黑" w:hAnsi="微软雅黑" w:eastAsia="微软雅黑" w:cs="微软雅黑"/>
          <w:sz w:val="21"/>
          <w:szCs w:val="21"/>
          <w:lang w:eastAsia="zh-CN"/>
        </w:rPr>
        <w:t>2、第16行＝表A100000第11行。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rPr>
      </w:pPr>
      <w:bookmarkStart w:id="2" w:name="_Toc499456559"/>
      <w:r>
        <w:rPr>
          <w:rFonts w:hint="eastAsia"/>
        </w:rPr>
        <w:t>A101020</w:t>
      </w:r>
      <w:r>
        <w:rPr>
          <w:rFonts w:hint="eastAsia"/>
        </w:rPr>
        <w:tab/>
      </w:r>
      <w:r>
        <w:rPr>
          <w:rFonts w:hint="eastAsia"/>
        </w:rPr>
        <w:t>金融企业收入明细表</w:t>
      </w:r>
      <w:bookmarkEnd w:id="2"/>
    </w:p>
    <w:tbl>
      <w:tblPr>
        <w:tblStyle w:val="8"/>
        <w:tblW w:w="92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0"/>
        <w:gridCol w:w="6280"/>
        <w:gridCol w:w="23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6280" w:type="dxa"/>
            <w:noWrap w:val="0"/>
            <w:vAlign w:val="center"/>
          </w:tcPr>
          <w:p>
            <w:pPr>
              <w:widowControl/>
              <w:ind w:left="2520" w:leftChars="1200" w:right="2520" w:rightChars="1200"/>
              <w:jc w:val="distribute"/>
              <w:rPr>
                <w:rFonts w:ascii="宋体" w:hAnsi="宋体" w:cs="宋体"/>
                <w:kern w:val="0"/>
                <w:sz w:val="20"/>
                <w:szCs w:val="20"/>
              </w:rPr>
            </w:pPr>
            <w:r>
              <w:rPr>
                <w:rFonts w:hint="eastAsia" w:ascii="宋体" w:hAnsi="宋体" w:cs="宋体"/>
                <w:kern w:val="0"/>
                <w:sz w:val="20"/>
                <w:szCs w:val="20"/>
              </w:rPr>
              <w:t>项目</w:t>
            </w:r>
          </w:p>
        </w:tc>
        <w:tc>
          <w:tcPr>
            <w:tcW w:w="2320" w:type="dxa"/>
            <w:noWrap w:val="0"/>
            <w:vAlign w:val="center"/>
          </w:tcPr>
          <w:p>
            <w:pPr>
              <w:widowControl/>
              <w:jc w:val="center"/>
              <w:rPr>
                <w:rFonts w:ascii="宋体" w:hAnsi="宋体" w:cs="宋体"/>
                <w:kern w:val="0"/>
                <w:sz w:val="20"/>
                <w:szCs w:val="20"/>
              </w:rPr>
            </w:pPr>
            <w:r>
              <w:rPr>
                <w:rFonts w:hint="eastAsia" w:ascii="宋体" w:hAnsi="宋体" w:cs="宋体"/>
                <w:spacing w:val="300"/>
                <w:kern w:val="0"/>
                <w:sz w:val="20"/>
                <w:szCs w:val="20"/>
                <w:fitText w:val="1000" w:id="1"/>
              </w:rPr>
              <w:t>金</w:t>
            </w:r>
            <w:r>
              <w:rPr>
                <w:rFonts w:hint="eastAsia" w:ascii="宋体" w:hAnsi="宋体" w:cs="宋体"/>
                <w:spacing w:val="0"/>
                <w:kern w:val="0"/>
                <w:sz w:val="20"/>
                <w:szCs w:val="20"/>
                <w:fitText w:val="1000" w:id="1"/>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628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一、营业收入（2+18+27+32+33+34）</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（一）银行业务收入（3+10）</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利息收入（4+5+6+7+8+9）</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（1）存放同业</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（2）存放中央银行</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（3）拆出资金</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（4）发放贷款及垫资</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（5）买入返售金融资产</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（6）其他</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手续费及佣金收入（11+12+13+14+15+16+17）</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（1）结算与清算手续费</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（2）代理业务手续费</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（3）信用承诺手续费及佣金</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（4）银行卡手续费</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（5）顾问和咨询费</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（6）托管及其他受托业务佣金</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（7）其他</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（二）证券业务收入（19+26）</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证券业务手续费及佣金收入（20+21+22+23+24+25）</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（1）证券承销业务</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（2）证券经纪业务</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（3）受托客户资产管理业务</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（4）代理兑付证券</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（5）代理保管证券</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6280" w:type="dxa"/>
            <w:noWrap w:val="0"/>
            <w:vAlign w:val="center"/>
          </w:tcPr>
          <w:p>
            <w:pPr>
              <w:widowControl/>
              <w:ind w:left="939" w:leftChars="447"/>
              <w:jc w:val="left"/>
              <w:rPr>
                <w:rFonts w:ascii="宋体" w:hAnsi="宋体" w:cs="宋体"/>
                <w:kern w:val="0"/>
                <w:sz w:val="20"/>
                <w:szCs w:val="20"/>
              </w:rPr>
            </w:pPr>
            <w:r>
              <w:rPr>
                <w:rFonts w:hint="eastAsia" w:ascii="宋体" w:hAnsi="宋体" w:cs="宋体"/>
                <w:kern w:val="0"/>
                <w:sz w:val="20"/>
                <w:szCs w:val="20"/>
              </w:rPr>
              <w:t>（6）其他</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其他证券业务收入</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（三）已赚保费（28-30-31）</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保险业务收入</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6280" w:type="dxa"/>
            <w:noWrap w:val="0"/>
            <w:vAlign w:val="center"/>
          </w:tcPr>
          <w:p>
            <w:pPr>
              <w:widowControl/>
              <w:ind w:firstLine="1060" w:firstLineChars="530"/>
              <w:jc w:val="left"/>
              <w:rPr>
                <w:rFonts w:ascii="宋体" w:hAnsi="宋体" w:cs="宋体"/>
                <w:kern w:val="0"/>
                <w:sz w:val="20"/>
                <w:szCs w:val="20"/>
              </w:rPr>
            </w:pPr>
            <w:r>
              <w:rPr>
                <w:rFonts w:hint="eastAsia" w:ascii="宋体" w:hAnsi="宋体" w:cs="宋体"/>
                <w:kern w:val="0"/>
                <w:sz w:val="20"/>
                <w:szCs w:val="20"/>
              </w:rPr>
              <w:t>其中：分保费收入</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30</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分出保费</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31</w:t>
            </w:r>
          </w:p>
        </w:tc>
        <w:tc>
          <w:tcPr>
            <w:tcW w:w="6280" w:type="dxa"/>
            <w:noWrap w:val="0"/>
            <w:vAlign w:val="center"/>
          </w:tcPr>
          <w:p>
            <w:pPr>
              <w:widowControl/>
              <w:ind w:left="840" w:leftChars="400"/>
              <w:jc w:val="left"/>
              <w:rPr>
                <w:rFonts w:ascii="宋体" w:hAnsi="宋体" w:cs="宋体"/>
                <w:kern w:val="0"/>
                <w:sz w:val="20"/>
                <w:szCs w:val="20"/>
              </w:rPr>
            </w:pPr>
            <w:r>
              <w:rPr>
                <w:rFonts w:hint="eastAsia"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提取未到期责任准备金</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32</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（四）其他金融业务收入</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33</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（五）汇兑收益（损失以“-”号填列）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34</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（六）其他业务收入</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35</w:t>
            </w:r>
          </w:p>
        </w:tc>
        <w:tc>
          <w:tcPr>
            <w:tcW w:w="628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二、营业外收入（36+37+38+39+40+41+42）</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36</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（一）非流动资产处置利得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37</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（二）非货币性资产交换利得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38</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（三）债务重组利得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39</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（四）政府补助利得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40</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（五）盘盈利得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41</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（六）捐赠利得</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42</w:t>
            </w:r>
          </w:p>
        </w:tc>
        <w:tc>
          <w:tcPr>
            <w:tcW w:w="6280" w:type="dxa"/>
            <w:noWrap w:val="0"/>
            <w:vAlign w:val="center"/>
          </w:tcPr>
          <w:p>
            <w:pPr>
              <w:widowControl/>
              <w:ind w:left="420" w:leftChars="200"/>
              <w:jc w:val="left"/>
              <w:rPr>
                <w:rFonts w:ascii="宋体" w:hAnsi="宋体" w:cs="宋体"/>
                <w:kern w:val="0"/>
                <w:sz w:val="20"/>
                <w:szCs w:val="20"/>
              </w:rPr>
            </w:pPr>
            <w:r>
              <w:rPr>
                <w:rFonts w:hint="eastAsia" w:ascii="宋体" w:hAnsi="宋体" w:cs="宋体"/>
                <w:kern w:val="0"/>
                <w:sz w:val="20"/>
                <w:szCs w:val="20"/>
              </w:rPr>
              <w:t>（七）其他</w:t>
            </w:r>
          </w:p>
        </w:tc>
        <w:tc>
          <w:tcPr>
            <w:tcW w:w="232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bl>
    <w:p>
      <w:pPr>
        <w:bidi w:val="0"/>
        <w:rPr>
          <w:rFonts w:hint="eastAsia"/>
        </w:rPr>
      </w:pPr>
    </w:p>
    <w:p>
      <w:pPr>
        <w:pStyle w:val="4"/>
        <w:bidi w:val="0"/>
        <w:rPr>
          <w:rFonts w:hint="eastAsia"/>
          <w:lang w:eastAsia="zh-CN"/>
        </w:rPr>
      </w:pPr>
      <w:r>
        <w:rPr>
          <w:rFonts w:hint="eastAsia"/>
          <w:lang w:eastAsia="zh-CN"/>
        </w:rPr>
        <w:t>A101020</w:t>
      </w:r>
      <w:r>
        <w:rPr>
          <w:rFonts w:hint="eastAsia"/>
          <w:lang w:eastAsia="zh-CN"/>
        </w:rPr>
        <w:tab/>
      </w:r>
      <w:r>
        <w:rPr>
          <w:rFonts w:hint="eastAsia"/>
          <w:lang w:eastAsia="zh-CN"/>
        </w:rPr>
        <w:t>《金融企业收入明细表》填报说明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本表适用于执行企业会计准则的金融企业纳税人填报，包括银行（信用社）、保险公司、证券公司等金融企业。金融企业应根据企业会计准则的规定填报“营业收入”“营业外收入”。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1、第1行“营业收入”：填报纳税人提供金融商品服务取得的收入。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2、第2行“银行业务收入”：填报纳税人从事银行业务取得的收入。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利息收入”：填报银行存贷款业务等取得的各项利息收入，包括发放的各类贷款（银团贷款、贸易融资、贴现和转贴现融出资金、协议透支、信用卡透支、转贷款、垫款等）、与其他金融机构（中央银行、同业等）之间发生资金往来业务、买入返售金融资产等实现的利息收入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4、第4行“存放同业”：填报纳税人存放于境内、境外银行和非银行金融机构款项取得的利息收入。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5、第5行“存放中央银行”：填报纳税人存放于中国人民银行的各种款项利息收入。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6、第6行“拆出资金”：填报纳税人拆借给境内、境外其他金融机构款项的利息收入。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7、第7行“发放贷款及垫资”：填报纳税人发放贷款及垫资的利息收入。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8、第8行“买入返售金融资产”：填报纳税人按照返售协议约定先买入再按固定价格返售的票据、证券、贷款等金融资产所融出资金的利息收入。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9、第9行“其他”：填报纳税人除本表第4行至第8行以外的其他利息收入，包括债券投资利息等收入。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10行“手续费及佣金收入”：填报银行在提供相关金融业务服务时向客户收取的收入，包括结算与清算手续费、代理业务手续费、信用承诺手续费及佣金、银行卡手续费、顾问和咨询费、托管及其他受托业务佣金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11、第18行“证券业务收入”：填报纳税人从事证券业务取得的收入。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12、第19行“证券业务手续费及佣金收入”：填报纳税人承销、代理兑付等业务取得的各项手续费、佣金等收入。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13、第26行“其他证券业务收入”：填报纳税人在国家许可的范围内从事的除经纪、自营和承销业务以外的与证券有关的业务收入。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14、第27行“已赚保费”：填报纳税人从事保险业务确认的本年实际保费收入。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15、第28行“保险业务收入”：填报纳税人从事保险业务确认的保费收入。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16、第29行“分保费收入”：填报纳税人（再保险公司或分入公司）从原保险公司或分出公司分入的保费收入。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17、第30行“分出保费”：填报纳税人（再保险分出人）向再保险接受人分出的保费。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18、第31行“提取未到期责任准备金”：填报纳税人（保险企业）提取的非寿险原保险合同未到期责任准备金和再保险合同分保未到期责任准备金。</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19、第32行“其他金融业务收入”：填报纳税人提供除银行业、保险业、证券业以外的金融商品服务取得的收入。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20、第33行“汇兑收益”：填报纳税人发生的外币交易因汇率变动而产生的汇兑损益，损失以“-”号填列。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21、第34行“其他业务收入”：填报纳税人发生的除主营业务活动以外的其他经营活动实现的收入。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22、第35行“营业外收入”：填报纳税人发生的各项营业外收入，主要包括非流动资产处置利得、非货币性资产交换利得、债务重组利得、政府补助利得、盘盈利得、捐赠利得等。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23、第36行“非流动资产处置利得”：填报纳税人处置固定资产、无形资产等取得的净收益。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24、第37行“非货币资产交换利得”：填报纳税人发生非货币性资产交换应确认的净收益。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25、第38行“债务重组利得”：填报纳税人发生的债务重组业务确认的净收益。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26、第39行“政府补助利得”：填报纳税人从政府无偿取得货币性资产或非货币性资产应确认的净收益。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27、第40行“盘盈利得”：填报纳税人在清查财产过程中查明的各种财产盘盈应确认的净收益。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28、第41行“捐赠利得”：填报纳税人接受的来自企业、组织或个人无偿给予的货币性资产、非货币性资产捐赠应确认的净收益。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29、第42行“其他”：填报纳税人取得的上述项目未列举的其他营业外收入，包括执行《企业会计准则》纳税人对按权益法核算的长期股权投资初始投资成本调整确认的收益。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1、第1行＝第2+18+27+32+33+34行。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2、第2行＝第3+10行。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3、第3行＝第4+5+…+9行。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4、第10行＝第11+12+…+17行。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5、第18行＝第19+26行。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6、第19行＝第20+21+…+25行。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7、第27行＝第28-30-31行。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8、第35行＝第36+37+…+42行。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1、第1行＝表A100000第1行。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4"/>
          <w:szCs w:val="24"/>
          <w:lang w:eastAsia="zh-CN"/>
        </w:rPr>
      </w:pPr>
      <w:r>
        <w:rPr>
          <w:rFonts w:hint="eastAsia" w:ascii="微软雅黑" w:hAnsi="微软雅黑" w:eastAsia="微软雅黑" w:cs="微软雅黑"/>
          <w:sz w:val="21"/>
          <w:szCs w:val="21"/>
          <w:lang w:eastAsia="zh-CN"/>
        </w:rPr>
        <w:t>2、第35行＝表A100000第11行。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A102010</w:t>
      </w:r>
      <w:r>
        <w:rPr>
          <w:rFonts w:hint="eastAsia"/>
          <w:lang w:eastAsia="zh-CN"/>
        </w:rPr>
        <w:tab/>
      </w:r>
      <w:r>
        <w:rPr>
          <w:rFonts w:hint="eastAsia"/>
          <w:lang w:eastAsia="zh-CN"/>
        </w:rPr>
        <w:t>一般企业成本支出明细表</w:t>
      </w:r>
    </w:p>
    <w:tbl>
      <w:tblPr>
        <w:tblStyle w:val="8"/>
        <w:tblW w:w="96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0"/>
        <w:gridCol w:w="6760"/>
        <w:gridCol w:w="230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6760" w:type="dxa"/>
            <w:noWrap w:val="0"/>
            <w:vAlign w:val="center"/>
          </w:tcPr>
          <w:p>
            <w:pPr>
              <w:widowControl/>
              <w:jc w:val="center"/>
              <w:rPr>
                <w:rFonts w:ascii="宋体" w:hAnsi="宋体" w:cs="宋体"/>
                <w:kern w:val="0"/>
                <w:sz w:val="20"/>
                <w:szCs w:val="20"/>
              </w:rPr>
            </w:pPr>
            <w:r>
              <w:rPr>
                <w:rFonts w:hint="eastAsia" w:ascii="宋体" w:hAnsi="宋体" w:cs="宋体"/>
                <w:spacing w:val="500"/>
                <w:kern w:val="0"/>
                <w:sz w:val="20"/>
                <w:szCs w:val="20"/>
                <w:fitText w:val="1400" w:id="2"/>
              </w:rPr>
              <w:t>项</w:t>
            </w:r>
            <w:r>
              <w:rPr>
                <w:rFonts w:hint="eastAsia" w:ascii="宋体" w:hAnsi="宋体" w:cs="宋体"/>
                <w:spacing w:val="0"/>
                <w:kern w:val="0"/>
                <w:sz w:val="20"/>
                <w:szCs w:val="20"/>
                <w:fitText w:val="1400" w:id="2"/>
              </w:rPr>
              <w:t>目</w:t>
            </w:r>
          </w:p>
        </w:tc>
        <w:tc>
          <w:tcPr>
            <w:tcW w:w="2300" w:type="dxa"/>
            <w:noWrap w:val="0"/>
            <w:vAlign w:val="center"/>
          </w:tcPr>
          <w:p>
            <w:pPr>
              <w:widowControl/>
              <w:jc w:val="center"/>
              <w:rPr>
                <w:rFonts w:ascii="宋体" w:hAnsi="宋体" w:cs="宋体"/>
                <w:kern w:val="0"/>
                <w:sz w:val="20"/>
                <w:szCs w:val="20"/>
              </w:rPr>
            </w:pPr>
            <w:r>
              <w:rPr>
                <w:rFonts w:hint="eastAsia" w:ascii="宋体" w:hAnsi="宋体" w:cs="宋体"/>
                <w:spacing w:val="300"/>
                <w:kern w:val="0"/>
                <w:sz w:val="20"/>
                <w:szCs w:val="20"/>
                <w:fitText w:val="1000" w:id="3"/>
              </w:rPr>
              <w:t>金</w:t>
            </w:r>
            <w:r>
              <w:rPr>
                <w:rFonts w:hint="eastAsia" w:ascii="宋体" w:hAnsi="宋体" w:cs="宋体"/>
                <w:spacing w:val="0"/>
                <w:kern w:val="0"/>
                <w:sz w:val="20"/>
                <w:szCs w:val="20"/>
                <w:fitText w:val="1000" w:id="3"/>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一、营业成本（2+9）</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（一）主营业务成本（3+5+6+7+8）</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销售商品成本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其中:非货币性资产交换成本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提供劳务成本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w:t>
            </w:r>
            <w:r>
              <w:rPr>
                <w:rFonts w:hint="eastAsia" w:ascii="宋体" w:hAnsi="宋体" w:eastAsia="宋体" w:cs="宋体"/>
                <w:kern w:val="0"/>
                <w:sz w:val="20"/>
                <w:szCs w:val="20"/>
                <w:lang w:eastAsia="zh-CN"/>
              </w:rPr>
              <w:t>、</w:t>
            </w:r>
            <w:r>
              <w:rPr>
                <w:rFonts w:hint="eastAsia" w:ascii="宋体" w:hAnsi="宋体" w:cs="宋体"/>
                <w:kern w:val="0"/>
                <w:sz w:val="20"/>
                <w:szCs w:val="20"/>
              </w:rPr>
              <w:t>建造合同成本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4</w:t>
            </w:r>
            <w:r>
              <w:rPr>
                <w:rFonts w:hint="eastAsia" w:ascii="宋体" w:hAnsi="宋体" w:eastAsia="宋体" w:cs="宋体"/>
                <w:kern w:val="0"/>
                <w:sz w:val="20"/>
                <w:szCs w:val="20"/>
                <w:lang w:eastAsia="zh-CN"/>
              </w:rPr>
              <w:t>、</w:t>
            </w:r>
            <w:r>
              <w:rPr>
                <w:rFonts w:hint="eastAsia" w:ascii="宋体" w:hAnsi="宋体" w:cs="宋体"/>
                <w:kern w:val="0"/>
                <w:sz w:val="20"/>
                <w:szCs w:val="20"/>
              </w:rPr>
              <w:t>让渡资产使用权成本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5</w:t>
            </w:r>
            <w:r>
              <w:rPr>
                <w:rFonts w:hint="eastAsia" w:ascii="宋体" w:hAnsi="宋体" w:eastAsia="宋体" w:cs="宋体"/>
                <w:kern w:val="0"/>
                <w:sz w:val="20"/>
                <w:szCs w:val="20"/>
                <w:lang w:eastAsia="zh-CN"/>
              </w:rPr>
              <w:t>、</w:t>
            </w:r>
            <w:r>
              <w:rPr>
                <w:rFonts w:hint="eastAsia" w:ascii="宋体" w:hAnsi="宋体" w:cs="宋体"/>
                <w:kern w:val="0"/>
                <w:sz w:val="20"/>
                <w:szCs w:val="20"/>
              </w:rPr>
              <w:t>其他</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（二）其他业务成本（10+12+13+14+15）</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 xml:space="preserve"> 销售材料成本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其中:非货币性资产交换成本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出租固定资产成本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w:t>
            </w:r>
            <w:r>
              <w:rPr>
                <w:rFonts w:hint="eastAsia" w:ascii="宋体" w:hAnsi="宋体" w:eastAsia="宋体" w:cs="宋体"/>
                <w:kern w:val="0"/>
                <w:sz w:val="20"/>
                <w:szCs w:val="20"/>
                <w:lang w:eastAsia="zh-CN"/>
              </w:rPr>
              <w:t>、</w:t>
            </w:r>
            <w:r>
              <w:rPr>
                <w:rFonts w:hint="eastAsia" w:ascii="宋体" w:hAnsi="宋体" w:cs="宋体"/>
                <w:kern w:val="0"/>
                <w:sz w:val="20"/>
                <w:szCs w:val="20"/>
              </w:rPr>
              <w:t>出租无形资产成本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4</w:t>
            </w:r>
            <w:r>
              <w:rPr>
                <w:rFonts w:hint="eastAsia" w:ascii="宋体" w:hAnsi="宋体" w:eastAsia="宋体" w:cs="宋体"/>
                <w:kern w:val="0"/>
                <w:sz w:val="20"/>
                <w:szCs w:val="20"/>
                <w:lang w:eastAsia="zh-CN"/>
              </w:rPr>
              <w:t>、</w:t>
            </w:r>
            <w:r>
              <w:rPr>
                <w:rFonts w:hint="eastAsia" w:ascii="宋体" w:hAnsi="宋体" w:cs="宋体"/>
                <w:kern w:val="0"/>
                <w:sz w:val="20"/>
                <w:szCs w:val="20"/>
              </w:rPr>
              <w:t>包装物出租成本</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5</w:t>
            </w:r>
            <w:r>
              <w:rPr>
                <w:rFonts w:hint="eastAsia" w:ascii="宋体" w:hAnsi="宋体" w:eastAsia="宋体" w:cs="宋体"/>
                <w:kern w:val="0"/>
                <w:sz w:val="20"/>
                <w:szCs w:val="20"/>
                <w:lang w:eastAsia="zh-CN"/>
              </w:rPr>
              <w:t>、</w:t>
            </w:r>
            <w:r>
              <w:rPr>
                <w:rFonts w:hint="eastAsia" w:ascii="宋体" w:hAnsi="宋体" w:cs="宋体"/>
                <w:kern w:val="0"/>
                <w:sz w:val="20"/>
                <w:szCs w:val="20"/>
              </w:rPr>
              <w:t>其他</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二、营业外支出（17+18+19+20+21+22+23+24+25+26）</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（一）非流动资产处置损失</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（二）非货币性资产交换损失</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（三）债务重组损失</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（四）非常损失</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（五）捐赠支出</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（六）赞助支出</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（七）罚没支出</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（八）坏账损失</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（九）无法收回的债券股权投资损失</w:t>
            </w:r>
          </w:p>
        </w:tc>
        <w:tc>
          <w:tcPr>
            <w:tcW w:w="230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（十）其他</w:t>
            </w:r>
          </w:p>
        </w:tc>
        <w:tc>
          <w:tcPr>
            <w:tcW w:w="2300" w:type="dxa"/>
            <w:noWrap w:val="0"/>
            <w:vAlign w:val="center"/>
          </w:tcPr>
          <w:p>
            <w:pPr>
              <w:widowControl/>
              <w:jc w:val="right"/>
              <w:rPr>
                <w:rFonts w:ascii="宋体" w:hAnsi="宋体" w:cs="宋体"/>
                <w:kern w:val="0"/>
                <w:sz w:val="20"/>
                <w:szCs w:val="20"/>
              </w:rPr>
            </w:pPr>
          </w:p>
        </w:tc>
      </w:tr>
    </w:tbl>
    <w:p>
      <w:pPr>
        <w:pStyle w:val="4"/>
        <w:bidi w:val="0"/>
        <w:rPr>
          <w:rFonts w:hint="eastAsia"/>
          <w:lang w:eastAsia="zh-CN"/>
        </w:rPr>
      </w:pPr>
      <w:r>
        <w:rPr>
          <w:rFonts w:hint="eastAsia"/>
          <w:lang w:eastAsia="zh-CN"/>
        </w:rPr>
        <w:t>A102010</w:t>
      </w:r>
      <w:r>
        <w:rPr>
          <w:rFonts w:hint="eastAsia"/>
          <w:lang w:eastAsia="zh-CN"/>
        </w:rPr>
        <w:tab/>
      </w:r>
      <w:r>
        <w:rPr>
          <w:rFonts w:hint="eastAsia"/>
          <w:lang w:eastAsia="zh-CN"/>
        </w:rPr>
        <w:tab/>
      </w:r>
      <w:r>
        <w:rPr>
          <w:rFonts w:hint="eastAsia"/>
          <w:lang w:eastAsia="zh-CN"/>
        </w:rPr>
        <w:t>《一般企业成本支出明细表》填报说明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本表适用于除金融企业、事业单位和民间非营利组织外的企业填报。纳税人应根据国家统一会计制度的规定，填报“主营业务成本”“其他业务成本”和“营业外支出”。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1、第1行“营业成本”：填报纳税人主要经营业务和其他经营业务发生的成本总额。本行根据“主营业务成本”和“其他业务成本”的数额计算填报。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2、第2行“主营业务成本”：根据不同行业的业务性质分别填报纳税人核算的主营业务成本。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3、第3行“销售商品成本”：填报纳税人从事工业制造、商品流通、农业生产以及其他商品销售活动发生的主营业务成本。房地产开发企业销售开发产品（销售未完工开发产品除外）发生的成本也在此行填报。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4、第4行“其中：非货币性资产交换成本”：填报纳税人发生的非货币性资产交换按照国家统一会计制度应确认的销售商品成本。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行“提供劳务成本”：填报纳税人从事建筑安装、修理修配、交通运输、仓储租赁、邮电通信、咨询经纪、文化体育、科学研究、技术服务、教育培训、餐饮住宿、中介代理、卫生保健、社区服务、旅游、娱乐、加工以及其他劳务活动发生的主营业务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6、第6行“建造合同成本”：填报纳税人建造房屋、道路、桥梁、水坝等建筑物，以及生产船舶、飞机、大型机械设备等发生的主营业务成本。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7、第7行“让渡资产使用权成本”：填报纳税人在主营业务成本核算的，让渡无形资产使用权而发生的使用费成本以及出租固定资产、无形资产、投资性房地产发生的租金成本。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8、第8行“其他”：填报纳税人按照国家统一会计制度核算、上述未列举的其他主营业务成本。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9、第9行“其他业务成本”：根据不同行业的业务性质分别填报纳税人按照国家统一会计制度核算的其他业务成本。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10、第10行“销售材料成本”：填报纳税人销售材料、下脚料、废料、废旧物资等发生的成本。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11、第11行“其中：非货币性资产交换成本”：填报纳税人发生的非货币性资产交换按照国家统一会计制度应确认的材料销售成本。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12、第12行“出租固定资产成本”：填报纳税人将固定资产使用权让与承租人形成的出租固定资产成本。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13、第13行“出租无形资产成本”：填报纳税人让渡无形资产使用权形成的出租无形资产成本。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14、第14行“包装物出租成本”：填报纳税人出租、出借包装物形成的包装物出租成本。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15、第15行“其他”：填报纳税人按照国家统一会计制度核算，上述未列举的其他业务成本。</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16、第16行“营业外支出”：填报纳税人计入本科目核算的与生产经营无直接关系的各项支出。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17、第17行“非流动资产处置损失”：填报纳税人处置非流动资产形成的净损失。</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18、第18行“非货币性资产交换损失”：填报纳税人发生非货币性资产交换应确认的净损失。</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19、第19行“债务重组损失”：填报纳税人进行债务重组应确认的净损失。</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20、第20行“非常损失”：填报纳税人在营业外支出中核算的各项非正常的财产损失。</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21、第21行“捐赠支出”：填报纳税人无偿给予其他企业、组织或个人的货币性资产、非货币性资产的捐赠支出。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22、第22行“赞助支出”：填报纳税人发生的货币性资产、非货币性资产赞助支出。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23、第23行“罚没支出”：填报纳税人在日常经营管理活动中对外支付的各项罚款、没收收入的支出。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24、第24行“坏帐损失”：填报纳税人发生的各项坏帐损失。（该项目为使用小企业会计准则企业填报）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25、第25行“无法收回的债券股权投资损失”：填报纳税人各项无法收回的债券股权投资损失。（该项目为使用小企业会计准则企业填报）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26、第26行“其他”：填报纳税人本期实际发生的在营业外支出核算的其他损失及支出。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1、第1行＝第2+9行。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2、第2行＝第3+5+6+7+8行。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3、第9行＝第10+12+13+14+15行。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4、第16行＝第17+18+…+26行。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1、第1行＝表A100000第2行。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4"/>
          <w:szCs w:val="24"/>
          <w:lang w:eastAsia="zh-CN"/>
        </w:rPr>
      </w:pPr>
      <w:r>
        <w:rPr>
          <w:rFonts w:hint="eastAsia" w:ascii="微软雅黑" w:hAnsi="微软雅黑" w:eastAsia="微软雅黑" w:cs="微软雅黑"/>
          <w:sz w:val="21"/>
          <w:szCs w:val="21"/>
          <w:lang w:eastAsia="zh-CN"/>
        </w:rPr>
        <w:t>2、第16行＝表A100000第12行。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rPr>
      </w:pPr>
      <w:bookmarkStart w:id="3" w:name="_Toc499456563"/>
      <w:r>
        <w:rPr>
          <w:rFonts w:hint="eastAsia"/>
        </w:rPr>
        <w:t>A102020</w:t>
      </w:r>
      <w:r>
        <w:rPr>
          <w:rFonts w:hint="eastAsia"/>
        </w:rPr>
        <w:tab/>
      </w:r>
      <w:r>
        <w:rPr>
          <w:rFonts w:hint="eastAsia"/>
        </w:rPr>
        <w:t>金融企业支出明细表</w:t>
      </w:r>
      <w:bookmarkEnd w:id="3"/>
    </w:p>
    <w:tbl>
      <w:tblPr>
        <w:tblStyle w:val="8"/>
        <w:tblW w:w="972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0"/>
        <w:gridCol w:w="6760"/>
        <w:gridCol w:w="23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6760" w:type="dxa"/>
            <w:noWrap w:val="0"/>
            <w:vAlign w:val="center"/>
          </w:tcPr>
          <w:p>
            <w:pPr>
              <w:widowControl/>
              <w:jc w:val="center"/>
              <w:rPr>
                <w:rFonts w:ascii="宋体" w:hAnsi="宋体" w:cs="宋体"/>
                <w:kern w:val="0"/>
                <w:sz w:val="20"/>
                <w:szCs w:val="20"/>
              </w:rPr>
            </w:pPr>
            <w:r>
              <w:rPr>
                <w:rFonts w:hint="eastAsia" w:ascii="宋体" w:hAnsi="宋体" w:cs="宋体"/>
                <w:spacing w:val="500"/>
                <w:kern w:val="0"/>
                <w:sz w:val="20"/>
                <w:szCs w:val="20"/>
                <w:fitText w:val="1400" w:id="4"/>
              </w:rPr>
              <w:t>项</w:t>
            </w:r>
            <w:r>
              <w:rPr>
                <w:rFonts w:hint="eastAsia" w:ascii="宋体" w:hAnsi="宋体" w:cs="宋体"/>
                <w:spacing w:val="0"/>
                <w:kern w:val="0"/>
                <w:sz w:val="20"/>
                <w:szCs w:val="20"/>
                <w:fitText w:val="1400" w:id="4"/>
              </w:rPr>
              <w:t>目</w:t>
            </w:r>
          </w:p>
        </w:tc>
        <w:tc>
          <w:tcPr>
            <w:tcW w:w="2320" w:type="dxa"/>
            <w:noWrap w:val="0"/>
            <w:vAlign w:val="center"/>
          </w:tcPr>
          <w:p>
            <w:pPr>
              <w:widowControl/>
              <w:jc w:val="center"/>
              <w:rPr>
                <w:rFonts w:ascii="宋体" w:hAnsi="宋体" w:cs="宋体"/>
                <w:kern w:val="0"/>
                <w:sz w:val="20"/>
                <w:szCs w:val="20"/>
              </w:rPr>
            </w:pPr>
            <w:r>
              <w:rPr>
                <w:rFonts w:hint="eastAsia" w:ascii="宋体" w:hAnsi="宋体" w:cs="宋体"/>
                <w:spacing w:val="300"/>
                <w:kern w:val="0"/>
                <w:sz w:val="20"/>
                <w:szCs w:val="20"/>
                <w:fitText w:val="1000" w:id="5"/>
              </w:rPr>
              <w:t>金</w:t>
            </w:r>
            <w:r>
              <w:rPr>
                <w:rFonts w:hint="eastAsia" w:ascii="宋体" w:hAnsi="宋体" w:cs="宋体"/>
                <w:spacing w:val="0"/>
                <w:kern w:val="0"/>
                <w:sz w:val="20"/>
                <w:szCs w:val="20"/>
                <w:fitText w:val="1000" w:id="5"/>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一、营业支出（2+15+25+31+32）</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（一）银行业务支出（3+11）</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银行利息支出（4+5+6+7+8+9+10）</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（1）同业存放</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（2）向中央银行借款</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（3）拆入资金</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（4）吸收存款</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（5）卖出回购金融资产</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（6）发行债券</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（7）其他</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银行手续费及佣金支出（12+13+14）</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（1）手续费支出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（2）佣金支出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（3）其他</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（二）保险业务支出（16+17-18+19-20+21+22-23+24）</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退保金</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赔付支出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减：摊回赔付支出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w:t>
            </w:r>
            <w:r>
              <w:rPr>
                <w:rFonts w:hint="eastAsia" w:ascii="宋体" w:hAnsi="宋体" w:eastAsia="宋体" w:cs="宋体"/>
                <w:kern w:val="0"/>
                <w:sz w:val="20"/>
                <w:szCs w:val="20"/>
                <w:lang w:eastAsia="zh-CN"/>
              </w:rPr>
              <w:t>、</w:t>
            </w:r>
            <w:r>
              <w:rPr>
                <w:rFonts w:hint="eastAsia" w:ascii="宋体" w:hAnsi="宋体" w:cs="宋体"/>
                <w:kern w:val="0"/>
                <w:sz w:val="20"/>
                <w:szCs w:val="20"/>
              </w:rPr>
              <w:t>提取保险责任准备金</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减：摊回保险责任准备金</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4</w:t>
            </w:r>
            <w:r>
              <w:rPr>
                <w:rFonts w:hint="eastAsia" w:ascii="宋体" w:hAnsi="宋体" w:eastAsia="宋体" w:cs="宋体"/>
                <w:kern w:val="0"/>
                <w:sz w:val="20"/>
                <w:szCs w:val="20"/>
                <w:lang w:eastAsia="zh-CN"/>
              </w:rPr>
              <w:t>、</w:t>
            </w:r>
            <w:r>
              <w:rPr>
                <w:rFonts w:hint="eastAsia" w:ascii="宋体" w:hAnsi="宋体" w:cs="宋体"/>
                <w:kern w:val="0"/>
                <w:sz w:val="20"/>
                <w:szCs w:val="20"/>
              </w:rPr>
              <w:t>保单红利支出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5</w:t>
            </w:r>
            <w:r>
              <w:rPr>
                <w:rFonts w:hint="eastAsia" w:ascii="宋体" w:hAnsi="宋体" w:eastAsia="宋体" w:cs="宋体"/>
                <w:kern w:val="0"/>
                <w:sz w:val="20"/>
                <w:szCs w:val="20"/>
                <w:lang w:eastAsia="zh-CN"/>
              </w:rPr>
              <w:t>、</w:t>
            </w:r>
            <w:r>
              <w:rPr>
                <w:rFonts w:hint="eastAsia" w:ascii="宋体" w:hAnsi="宋体" w:cs="宋体"/>
                <w:kern w:val="0"/>
                <w:sz w:val="20"/>
                <w:szCs w:val="20"/>
              </w:rPr>
              <w:t>分保费用</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减：摊回分保费用</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6</w:t>
            </w:r>
            <w:r>
              <w:rPr>
                <w:rFonts w:hint="eastAsia" w:ascii="宋体" w:hAnsi="宋体" w:eastAsia="宋体" w:cs="宋体"/>
                <w:kern w:val="0"/>
                <w:sz w:val="20"/>
                <w:szCs w:val="20"/>
                <w:lang w:eastAsia="zh-CN"/>
              </w:rPr>
              <w:t>、</w:t>
            </w:r>
            <w:r>
              <w:rPr>
                <w:rFonts w:hint="eastAsia" w:ascii="宋体" w:hAnsi="宋体" w:cs="宋体"/>
                <w:kern w:val="0"/>
                <w:sz w:val="20"/>
                <w:szCs w:val="20"/>
              </w:rPr>
              <w:t>保险业务手续费及佣金支出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（三）证券业务支出（26+30）</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证券业务手续费及佣金支出（27+28+29）</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（1）证券经纪业务手续费支出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（2）佣金支出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（3）其他</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30</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其他证券业务支出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31</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（四）其他金融业务支出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32</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（五）其他业务成本</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33</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二、营业外支出（34+35+36+37+38+39）</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34</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（一）非流动资产处置损失</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35</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（二）非货币性资产交换损失</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36</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（三）债务重组损失</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37</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（四）捐赠支出</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38</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（五）非常损失</w:t>
            </w:r>
          </w:p>
        </w:tc>
        <w:tc>
          <w:tcPr>
            <w:tcW w:w="2320" w:type="dxa"/>
            <w:noWrap w:val="0"/>
            <w:vAlign w:val="center"/>
          </w:tcPr>
          <w:p>
            <w:pPr>
              <w:widowControl/>
              <w:jc w:val="righ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39</w:t>
            </w:r>
          </w:p>
        </w:tc>
        <w:tc>
          <w:tcPr>
            <w:tcW w:w="676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（六）其他</w:t>
            </w:r>
          </w:p>
        </w:tc>
        <w:tc>
          <w:tcPr>
            <w:tcW w:w="2320" w:type="dxa"/>
            <w:noWrap w:val="0"/>
            <w:vAlign w:val="center"/>
          </w:tcPr>
          <w:p>
            <w:pPr>
              <w:widowControl/>
              <w:jc w:val="right"/>
              <w:rPr>
                <w:rFonts w:ascii="宋体" w:hAnsi="宋体" w:cs="宋体"/>
                <w:kern w:val="0"/>
                <w:sz w:val="20"/>
                <w:szCs w:val="20"/>
              </w:rPr>
            </w:pPr>
          </w:p>
        </w:tc>
      </w:tr>
    </w:tbl>
    <w:p>
      <w:pPr>
        <w:pStyle w:val="4"/>
        <w:bidi w:val="0"/>
        <w:rPr>
          <w:rFonts w:hint="eastAsia" w:ascii="微软雅黑" w:hAnsi="微软雅黑" w:eastAsia="微软雅黑" w:cs="微软雅黑"/>
          <w:b/>
          <w:bCs/>
          <w:szCs w:val="36"/>
          <w:lang w:eastAsia="zh-CN"/>
        </w:rPr>
      </w:pPr>
      <w:r>
        <w:rPr>
          <w:rFonts w:hint="eastAsia"/>
          <w:lang w:eastAsia="zh-CN"/>
        </w:rPr>
        <w:t>A102020</w:t>
      </w:r>
      <w:r>
        <w:rPr>
          <w:rFonts w:hint="eastAsia"/>
          <w:lang w:eastAsia="zh-CN"/>
        </w:rPr>
        <w:tab/>
      </w:r>
      <w:r>
        <w:rPr>
          <w:rFonts w:hint="eastAsia"/>
          <w:lang w:eastAsia="zh-CN"/>
        </w:rPr>
        <w:t>《金融企业支出明细表》填报说明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执行企业会计准则的金融企业纳税人填报，包括银行（信用社）、保险公司、证券公司等金融企业。纳税人根据企业会计准则的规定填报“营业支出”“营业外支出”。金融企业发生的业务及管理费填报表A104000《期间费用明细表》第1列“销售费用”相应的行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1、第1行“营业支出”：填报金融企业提供金融商品服务发生的支出。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2、第2行“银行业务支出”：填报纳税人从事银行业务发生的支出。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3、第3行“银行利息支出”：填报纳税人经营存贷款业务等发生的利息支出，包括同业存放、向中央银行借款、拆入资金、吸收存款、卖出回购金融资产、发行债券和其他业务利息支出。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4、第11行“银行手续费及佣金支出”：填报纳税人发生的与银行业务活动相关的各项手续费、佣金等支出。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5、第15行“保险业务支出”：填报保险企业发生的与保险业务相关的费用支出。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6、第16行“退保金”：填报保险企业寿险原保险合同提前解除时按照约定应当退还投保人的保单现金价值。</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7、第17行“赔付支出”：填报保险企业支付的原保险合同赔付款项和再保险合同赔付款项。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8、第18行“减：摊回赔付支出”：填报保险企业（再保险分出人）向再保险接受人摊回的赔付成本。</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9、第19行“提取保险责任准备金”：填报保险企业提取的原保险合同保险责任准备金，包括提取的未决赔款准备金、提取的寿险责任准备金、提取的长期健康责任准备金。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10、第20行“减：摊回保险责任准备金”：填报保险企业（再保险分出人）从事再保险业务应向再保险接受人摊回的保险责任准备金，包括未决赔款准备金、寿险责任准备金、长期健康险责任准备金。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11、第21行“保单红利支出”：填报保险企业按原保险合同约定支付给投保人的红利。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12、第22行“分保费用”：填报保险企业（再保险接受人）向再保险分出人支付的分保费用。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13、第23行“减：摊回分保费用”：填报保险企业（再保险分出人）向再保险接受人摊回的分保费用。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14、第24行“保险业务手续费及佣金支出”：填报保险企业发生的与其保险业务活动相关的各项手续费、佣金支出。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15、第25行“证券业务支出”：填报纳税人从事证券业务发生的证券手续费支出和其他证券业务支出。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16、第26行“证券业务手续费及佣金支出”：填报纳税人代理承销、兑付和买卖证券等业务发生的各项手续费、风险结算金、承销业务直接相关的各项费用及佣金支出。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17、第30行“其他证券业务支出”：填报纳税人从事除经纪、自营和承销业务以外的与证券有关的业务支出。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18、第31行“其他金融业务支出”：填报纳税人提供除银行业、保险业、证券业以外的金融商品服务发生的相关业务支出。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19、第32行“其他业务成本”：填报纳税人发生的除主营业务活动以外的其他经营活动发生的支出。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20、第33行“营业外支出”：填报纳税人发生的各项营业外支出，包括非流动资产处置损失、非货币性资产交换损失、债务重组损失、捐赠支出、非常损失等。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21、第34行“非流动资产处置损失”：填报纳税人处置非流动资产形成的净损失。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22、第35行“非货币性资产交换损失”：填报纳税人发生非货币性资产交换应确认的净损失。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23、第36行“债务重组损失”：填报纳税人进行债务重组应确认的净损失。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24、第37行“捐赠支出”：填报纳税人无偿给予其他企业、组织或个人的货币性资产、非货币性资产的捐赠支出。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25、第38行“非常损失”：填报纳税人在营业外支出中核算的各项非正常的财产损失。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26、第39行“其他”：填报纳税人本期实际发生的在营业外支出核算的其他损失及支出。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1、第1行＝第2+15+25+31+32行。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2、第2行＝第3+11行。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3、第3行＝第4+5+…+10行。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4、第11行＝第12+13+14行。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5、第15行＝第16+17-18+19-20+21+22-23+24行。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6、第25行＝第26+30行。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7、第26行＝第27+28+29行。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8、第33行＝第34+35+…39行。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1、第1行＝表A100000第2行。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2、第33行＝表A100000第12行。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A103000</w:t>
      </w:r>
      <w:r>
        <w:rPr>
          <w:rFonts w:hint="eastAsia"/>
          <w:lang w:eastAsia="zh-CN"/>
        </w:rPr>
        <w:tab/>
      </w:r>
      <w:r>
        <w:rPr>
          <w:rFonts w:hint="eastAsia"/>
          <w:lang w:eastAsia="zh-CN"/>
        </w:rPr>
        <w:t>事业单位、民间非营利组织收入、支出明细表</w:t>
      </w:r>
    </w:p>
    <w:tbl>
      <w:tblPr>
        <w:tblStyle w:val="8"/>
        <w:tblW w:w="89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0"/>
        <w:gridCol w:w="4880"/>
        <w:gridCol w:w="34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488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项        目</w:t>
            </w:r>
          </w:p>
        </w:tc>
        <w:tc>
          <w:tcPr>
            <w:tcW w:w="342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金    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88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一、事业单位收入（2+3+4+5+6+7）</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（一）财政补助收入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（二）事业收入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（三）上级补助收入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（四）附属单位上缴收入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（五）经营收入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（六）其他收入（8+9）</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4880" w:type="dxa"/>
            <w:noWrap w:val="0"/>
            <w:vAlign w:val="center"/>
          </w:tcPr>
          <w:p>
            <w:pPr>
              <w:widowControl/>
              <w:ind w:firstLine="1000" w:firstLineChars="500"/>
              <w:jc w:val="left"/>
              <w:rPr>
                <w:rFonts w:ascii="宋体" w:hAnsi="宋体" w:cs="宋体"/>
                <w:kern w:val="0"/>
                <w:sz w:val="20"/>
                <w:szCs w:val="20"/>
              </w:rPr>
            </w:pPr>
            <w:r>
              <w:rPr>
                <w:rFonts w:hint="eastAsia" w:ascii="宋体" w:hAnsi="宋体" w:cs="宋体"/>
                <w:kern w:val="0"/>
                <w:sz w:val="20"/>
                <w:szCs w:val="20"/>
              </w:rPr>
              <w:t>其中：投资收益</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4880" w:type="dxa"/>
            <w:noWrap w:val="0"/>
            <w:vAlign w:val="center"/>
          </w:tcPr>
          <w:p>
            <w:pPr>
              <w:widowControl/>
              <w:ind w:firstLine="1600" w:firstLineChars="800"/>
              <w:jc w:val="left"/>
              <w:rPr>
                <w:rFonts w:ascii="宋体" w:hAnsi="宋体" w:cs="宋体"/>
                <w:kern w:val="0"/>
                <w:sz w:val="20"/>
                <w:szCs w:val="20"/>
              </w:rPr>
            </w:pPr>
            <w:r>
              <w:rPr>
                <w:rFonts w:hint="eastAsia" w:ascii="宋体" w:hAnsi="宋体" w:cs="宋体"/>
                <w:kern w:val="0"/>
                <w:sz w:val="20"/>
                <w:szCs w:val="20"/>
              </w:rPr>
              <w:t>其他</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488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二、民间非营利组织收入(11+12+13+14+15+16+17)</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（一）接受捐赠收入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（二）会费收入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（三）提供劳务收入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（四）商品销售收入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（五）政府补助收入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（六）投资收益</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（七）其他收入</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488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三、事业单位支出（19+20+21+22+23）</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（一）事业支出</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（二）上缴上级支出</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（三）对附属单位补助支出</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（四）经营支出</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（五）其他支出</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488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四、民间非营利组织支出（25+26+27+28）</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（一）业务活动成本</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（二）管理费用</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（三）筹资费用</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4880"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（四）其他费用</w:t>
            </w:r>
          </w:p>
        </w:tc>
        <w:tc>
          <w:tcPr>
            <w:tcW w:w="34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4"/>
        <w:bidi w:val="0"/>
        <w:rPr>
          <w:rFonts w:hint="eastAsia"/>
          <w:lang w:eastAsia="zh-CN"/>
        </w:rPr>
      </w:pPr>
      <w:r>
        <w:rPr>
          <w:rFonts w:hint="eastAsia"/>
          <w:lang w:eastAsia="zh-CN"/>
        </w:rPr>
        <w:t>A103000</w:t>
      </w:r>
      <w:r>
        <w:rPr>
          <w:rFonts w:hint="eastAsia"/>
          <w:lang w:eastAsia="zh-CN"/>
        </w:rPr>
        <w:tab/>
      </w:r>
      <w:r>
        <w:rPr>
          <w:rFonts w:hint="eastAsia"/>
          <w:lang w:eastAsia="zh-CN"/>
        </w:rPr>
        <w:t>《事业单位、民间非营利组织收入、支出明细表》填报说明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实行事业单位会计准则的事业单位以及执行民间非营利组织会计制度的社会团体、民办非企业单位、非营利性组织等查账征收居民纳税人填报。纳税人应根据事业单位会计准则、民间非营利组织会计制度的规定，填报“事业单位收入”“民间非营利组织收入”“事业单位支出”“民间非营利组织支出”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（一）事业单位填报说明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第1行至第9行由执行事业单位会计准则的纳税人填报。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1、第1行“事业单位收入”：填报纳税人取得的所有收入的金额（包括不征税收入和免税收入），按照会计核算口径填报。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2、第2行“财政补助收入”：填报纳税人直接从同级财政部门取得的各类财政拨款，包括基本支出补助和项目支出补助。</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3、第3行“事业收入”：填报纳税人通过开展专业业务活动及辅助活动所取得的收入。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4、第4行“上级补助收入”：填报纳税人从主管部门和上级单位取得的非财政补助收入。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5、第5行“附属单位上缴收入”：填报纳税人附属独立核算单位按有关规定上缴的收入。包括附属事业单位上缴的收入和附属企业上缴的利润等。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6、第6行“经营收入”：填报纳税人开展专业业务活动及其辅助活动之外开展非独立核算经营活动取得的收入。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7行“其他收入”：填报纳税人取得的除本表第2行至第6行项目以外的收入，包括投资收益、银行存款利息收入、租金收入、捐赠收入、现金盘盈收入、存货盘盈收入、收回已核销应收及预付款项、无法偿付的应付及预收款项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8、第8行“其中：投资收益”：填报在“其他收入”科目中核算的各项短期投资、长期债券投资、长期股权投资取得的投资收益。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9、第9行“其他”：填报在“其他收入”科目中核算的除投资收益以外的收入。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（二）民间非营利组织填报说明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第10行至第17行由执行民间非营利组织会计制度的纳税人填报。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10、第10行“民间非营利组织收入”：填报纳税人开展业务活动取得的收入，应当包括接受捐赠收入、会费收入、提供劳务收入、政府补助收入、投资收益、商品销售收入等主要业务活动收入和其他收入等。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11、第11行“接受捐赠收入”：填报纳税人接受其他单位或者个人捐赠所取得的收入。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12、第12行“会费收入”：填报纳税人根据章程等规定向会员收取的会费收入。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13、第13行“提供劳务收入”：填报纳税人根据章程等规定向其服务对象提供服务取得的收入，包括学费收入、医疗费收入、培训收入等。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14、第14行“商品销售收入”：填报纳税人销售商品（如出版物、药品等）所形成的收入。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15、第15行“政府补助收入”：填报纳税人接受政府拨款或者政府机构给予的补助而取得的收入。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16、第16行“投资收益”：填报纳税人因对外投资取得的投资净收益。</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17、第17行“其他收入”：填报纳税人除上述主要业务活动收入以外的其他收入，如固定资产处置净收入、无形资产处置净收入等。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第18行至第23行由执行事业单位会计准则的纳税人填报。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18、第18行“事业单位支出”：填报纳税人发生的所有支出总额（含不征税收入形成的支出），按照会计核算口径填报。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19、第19行“事业支出”：填报纳税人开展专业业务活动及其辅助活动发生的支出，包括工资、补助工资、职工福利费、社会保障费、助学金，公务费、业务费、设备购置费、修缮费和其他费用。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20、第20行“上缴上级支出”：填报纳税人按照财政部门和主管部门的规定上缴上级单位的支出。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21、第21行“对附属单位补助支出”：填报纳税人用财政补助收入之外的收入对附属单位补助发生的支出。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22、第22行“经营支出”：填报纳税人在专业业务活动及其辅助活动之外开展非独立核算经营活动发生的支出。</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23、第23行“其他支出”：填报纳税人除本表第19行至第22行项目以外的支出，包括利息支出、捐赠支出、现金盘亏损失、资产处置损失、接受捐赠（调入）非流动资产发生的税费支出等。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第24行至第28行由执行民间非营利组织会计制度的纳税人填报。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24、第24行“民间非营利组织支出”：填报纳税人发生的所有支出总额。按照会计核算口径填报。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25、第25行“业务活动成本”：填报民间非营利组织为了实现其业务活动目标、开展某项目活动或者提供劳务所发生的费用。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26行“管理费用”：填报民间非营利组织为组织和管理其业务活动所发生的各项费用，包括民间非营利组织董事会（或者理事会或者类似权力机构）经费和行政管理人员的工资、奖金、津贴、福利费、住房公积金、住房补贴、社会保障费、离退休人员工资与补助，以及办公费、水电费、邮电费、物业管理费、差旅费、折旧费、修理费、无形资产摊销费、存货盘亏损失、资产减值损失、因预计负债所产生的损失、聘请中介机构费和应偿还的受赠资产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27、第27行“筹资费用”：填报民间非营利组织为筹集业务活动所需资金而发生的费用，包括民间非营利组织获得捐赠资产而发生的费用以及应当计入当期费用的借款费用、汇兑损失（减汇兑收益）等。民间非营利组织为了获得捐赠资产而发生的费用包括举办募款活动费，准备、印刷和发放募款宣传资料费以及其他与募款或者争取捐赠有关的费用。</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28、第28行“其他费用”：填报民间非营利组织发生的、无法归属到上述业务活动成本、管理费用或者筹资费用中的费用，包括固定资产处置净损失、无形资产处置净损失等。</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1、第1行＝第2+3+…+7行。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2、第7行＝第8+9行。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3、第10行＝第11+12+…+17行。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4、第18行＝第19+20+21+22+23行。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5、第24行＝第25+26+27+28行。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1、第2+3+4+5+6行或第11+12+13+14+15行＝表A100000第1行。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2、第8行或第16行＝表A100000第9行。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3、第9行或第17行＝表A100000第11行。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4、第19+20+21+22行或第25+26+27行＝表A100000第2行。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5、第23行或第28行＝表A100000第12行。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A104000</w:t>
      </w:r>
      <w:r>
        <w:rPr>
          <w:rFonts w:hint="eastAsia"/>
          <w:lang w:eastAsia="zh-CN"/>
        </w:rPr>
        <w:tab/>
      </w:r>
      <w:r>
        <w:rPr>
          <w:rFonts w:hint="eastAsia"/>
          <w:lang w:eastAsia="zh-CN"/>
        </w:rPr>
        <w:t>期间费用明细表</w:t>
      </w:r>
    </w:p>
    <w:tbl>
      <w:tblPr>
        <w:tblStyle w:val="8"/>
        <w:tblW w:w="100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16"/>
        <w:gridCol w:w="3193"/>
        <w:gridCol w:w="1027"/>
        <w:gridCol w:w="1147"/>
        <w:gridCol w:w="1066"/>
        <w:gridCol w:w="1025"/>
        <w:gridCol w:w="1146"/>
        <w:gridCol w:w="106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16"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3193"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项        目</w:t>
            </w:r>
          </w:p>
        </w:tc>
        <w:tc>
          <w:tcPr>
            <w:tcW w:w="102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销售费用</w:t>
            </w:r>
          </w:p>
        </w:tc>
        <w:tc>
          <w:tcPr>
            <w:tcW w:w="114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其中：</w:t>
            </w:r>
          </w:p>
          <w:p>
            <w:pPr>
              <w:widowControl/>
              <w:jc w:val="left"/>
              <w:rPr>
                <w:rFonts w:ascii="宋体" w:hAnsi="宋体" w:cs="宋体"/>
                <w:kern w:val="0"/>
                <w:sz w:val="20"/>
                <w:szCs w:val="20"/>
              </w:rPr>
            </w:pPr>
            <w:r>
              <w:rPr>
                <w:rFonts w:hint="eastAsia" w:ascii="宋体" w:hAnsi="宋体" w:cs="宋体"/>
                <w:kern w:val="0"/>
                <w:sz w:val="20"/>
                <w:szCs w:val="20"/>
              </w:rPr>
              <w:t>境外支付</w:t>
            </w:r>
          </w:p>
        </w:tc>
        <w:tc>
          <w:tcPr>
            <w:tcW w:w="106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管理费用</w:t>
            </w:r>
          </w:p>
        </w:tc>
        <w:tc>
          <w:tcPr>
            <w:tcW w:w="102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其中：</w:t>
            </w:r>
          </w:p>
          <w:p>
            <w:pPr>
              <w:widowControl/>
              <w:jc w:val="left"/>
              <w:rPr>
                <w:rFonts w:ascii="宋体" w:hAnsi="宋体" w:cs="宋体"/>
                <w:kern w:val="0"/>
                <w:sz w:val="20"/>
                <w:szCs w:val="20"/>
              </w:rPr>
            </w:pPr>
            <w:r>
              <w:rPr>
                <w:rFonts w:hint="eastAsia" w:ascii="宋体" w:hAnsi="宋体" w:cs="宋体"/>
                <w:kern w:val="0"/>
                <w:sz w:val="20"/>
                <w:szCs w:val="20"/>
              </w:rPr>
              <w:t>境外支付</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财务费用</w:t>
            </w:r>
          </w:p>
        </w:tc>
        <w:tc>
          <w:tcPr>
            <w:tcW w:w="10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其中：</w:t>
            </w:r>
          </w:p>
          <w:p>
            <w:pPr>
              <w:widowControl/>
              <w:jc w:val="left"/>
              <w:rPr>
                <w:rFonts w:ascii="宋体" w:hAnsi="宋体" w:cs="宋体"/>
                <w:kern w:val="0"/>
                <w:sz w:val="20"/>
                <w:szCs w:val="20"/>
              </w:rPr>
            </w:pPr>
            <w:r>
              <w:rPr>
                <w:rFonts w:hint="eastAsia" w:ascii="宋体" w:hAnsi="宋体" w:cs="宋体"/>
                <w:kern w:val="0"/>
                <w:sz w:val="20"/>
                <w:szCs w:val="20"/>
              </w:rPr>
              <w:t>境外支付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16" w:type="dxa"/>
            <w:vMerge w:val="continue"/>
            <w:noWrap w:val="0"/>
            <w:vAlign w:val="center"/>
          </w:tcPr>
          <w:p>
            <w:pPr>
              <w:widowControl/>
              <w:jc w:val="left"/>
              <w:rPr>
                <w:rFonts w:ascii="宋体" w:hAnsi="宋体" w:cs="宋体"/>
                <w:kern w:val="0"/>
                <w:sz w:val="20"/>
                <w:szCs w:val="20"/>
              </w:rPr>
            </w:pPr>
          </w:p>
        </w:tc>
        <w:tc>
          <w:tcPr>
            <w:tcW w:w="3193" w:type="dxa"/>
            <w:vMerge w:val="continue"/>
            <w:noWrap w:val="0"/>
            <w:vAlign w:val="center"/>
          </w:tcPr>
          <w:p>
            <w:pPr>
              <w:widowControl/>
              <w:jc w:val="left"/>
              <w:rPr>
                <w:rFonts w:ascii="宋体" w:hAnsi="宋体" w:cs="宋体"/>
                <w:kern w:val="0"/>
                <w:sz w:val="20"/>
                <w:szCs w:val="20"/>
              </w:rPr>
            </w:pPr>
          </w:p>
        </w:tc>
        <w:tc>
          <w:tcPr>
            <w:tcW w:w="102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06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一、职工薪酬</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二、劳务费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三、咨询顾问费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四、业务招待费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五、广告费和业务宣传费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六、佣金和手续费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p>
        </w:tc>
        <w:tc>
          <w:tcPr>
            <w:tcW w:w="1065"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七、资产折旧摊销费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八、财产损耗、盘亏及毁损损失</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九、办公费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十、董事会费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十一、租赁费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十二、诉讼费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十三、差旅费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十四、保险费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十五、运输、仓储费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十六、修理费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十七、包装费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十八、技术转让费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highlight w:val="cyan"/>
              </w:rPr>
            </w:pPr>
            <w:r>
              <w:rPr>
                <w:rFonts w:hint="eastAsia" w:ascii="宋体" w:hAnsi="宋体" w:cs="宋体"/>
                <w:kern w:val="0"/>
                <w:sz w:val="20"/>
                <w:szCs w:val="20"/>
                <w:highlight w:val="cyan"/>
              </w:rPr>
              <w:t>19</w:t>
            </w:r>
          </w:p>
        </w:tc>
        <w:tc>
          <w:tcPr>
            <w:tcW w:w="3193" w:type="dxa"/>
            <w:shd w:val="clear" w:color="000000" w:fill="FFFFFF"/>
            <w:noWrap w:val="0"/>
            <w:vAlign w:val="center"/>
          </w:tcPr>
          <w:p>
            <w:pPr>
              <w:widowControl/>
              <w:jc w:val="left"/>
              <w:rPr>
                <w:rFonts w:ascii="宋体" w:hAnsi="宋体" w:cs="宋体"/>
                <w:kern w:val="0"/>
                <w:sz w:val="20"/>
                <w:szCs w:val="20"/>
                <w:highlight w:val="cyan"/>
              </w:rPr>
            </w:pPr>
            <w:r>
              <w:rPr>
                <w:rFonts w:hint="eastAsia" w:ascii="宋体" w:hAnsi="宋体" w:cs="宋体"/>
                <w:kern w:val="0"/>
                <w:sz w:val="20"/>
                <w:szCs w:val="20"/>
                <w:highlight w:val="cyan"/>
              </w:rPr>
              <w:t>十九、研究费用</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二十、各项税费</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二十一、利息收支</w:t>
            </w:r>
          </w:p>
        </w:tc>
        <w:tc>
          <w:tcPr>
            <w:tcW w:w="1027"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p>
        </w:tc>
        <w:tc>
          <w:tcPr>
            <w:tcW w:w="1065"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二十二、汇兑差额</w:t>
            </w:r>
          </w:p>
        </w:tc>
        <w:tc>
          <w:tcPr>
            <w:tcW w:w="1027"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2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noWrap w:val="0"/>
            <w:vAlign w:val="center"/>
          </w:tcPr>
          <w:p>
            <w:pPr>
              <w:widowControl/>
              <w:jc w:val="center"/>
              <w:rPr>
                <w:rFonts w:ascii="宋体" w:hAnsi="宋体" w:cs="宋体"/>
                <w:kern w:val="0"/>
                <w:sz w:val="20"/>
                <w:szCs w:val="20"/>
              </w:rPr>
            </w:pPr>
          </w:p>
        </w:tc>
        <w:tc>
          <w:tcPr>
            <w:tcW w:w="1065"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highlight w:val="cyan"/>
              </w:rPr>
            </w:pPr>
            <w:r>
              <w:rPr>
                <w:rFonts w:hint="eastAsia" w:ascii="宋体" w:hAnsi="宋体" w:cs="宋体"/>
                <w:kern w:val="0"/>
                <w:sz w:val="20"/>
                <w:szCs w:val="20"/>
                <w:highlight w:val="cyan"/>
              </w:rPr>
              <w:t>23</w:t>
            </w:r>
          </w:p>
        </w:tc>
        <w:tc>
          <w:tcPr>
            <w:tcW w:w="3193" w:type="dxa"/>
            <w:shd w:val="clear" w:color="000000" w:fill="FFFFFF"/>
            <w:noWrap w:val="0"/>
            <w:vAlign w:val="center"/>
          </w:tcPr>
          <w:p>
            <w:pPr>
              <w:widowControl/>
              <w:jc w:val="left"/>
              <w:rPr>
                <w:rFonts w:ascii="宋体" w:hAnsi="宋体" w:cs="宋体"/>
                <w:kern w:val="0"/>
                <w:sz w:val="20"/>
                <w:szCs w:val="20"/>
                <w:highlight w:val="cyan"/>
              </w:rPr>
            </w:pPr>
            <w:r>
              <w:rPr>
                <w:rFonts w:hint="eastAsia" w:ascii="宋体" w:hAnsi="宋体" w:cs="宋体"/>
                <w:kern w:val="0"/>
                <w:sz w:val="20"/>
                <w:szCs w:val="20"/>
                <w:highlight w:val="cyan"/>
              </w:rPr>
              <w:t>二十三、现金折扣</w:t>
            </w:r>
          </w:p>
        </w:tc>
        <w:tc>
          <w:tcPr>
            <w:tcW w:w="1027"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7"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25"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shd w:val="clear" w:color="000000" w:fill="FFFFFF"/>
            <w:noWrap w:val="0"/>
            <w:vAlign w:val="center"/>
          </w:tcPr>
          <w:p>
            <w:pPr>
              <w:widowControl/>
              <w:jc w:val="center"/>
              <w:rPr>
                <w:rFonts w:ascii="宋体" w:hAnsi="宋体" w:cs="宋体"/>
                <w:kern w:val="0"/>
                <w:sz w:val="20"/>
                <w:szCs w:val="20"/>
              </w:rPr>
            </w:pPr>
          </w:p>
        </w:tc>
        <w:tc>
          <w:tcPr>
            <w:tcW w:w="1065"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highlight w:val="cyan"/>
              </w:rPr>
            </w:pPr>
            <w:r>
              <w:rPr>
                <w:rFonts w:hint="eastAsia" w:ascii="宋体" w:hAnsi="宋体" w:cs="宋体"/>
                <w:kern w:val="0"/>
                <w:sz w:val="20"/>
                <w:szCs w:val="20"/>
                <w:highlight w:val="cyan"/>
              </w:rPr>
              <w:t>24</w:t>
            </w:r>
          </w:p>
        </w:tc>
        <w:tc>
          <w:tcPr>
            <w:tcW w:w="3193" w:type="dxa"/>
            <w:shd w:val="clear" w:color="000000" w:fill="FFFFFF"/>
            <w:noWrap w:val="0"/>
            <w:vAlign w:val="center"/>
          </w:tcPr>
          <w:p>
            <w:pPr>
              <w:widowControl/>
              <w:jc w:val="left"/>
              <w:rPr>
                <w:rFonts w:ascii="宋体" w:hAnsi="宋体" w:cs="宋体"/>
                <w:kern w:val="0"/>
                <w:sz w:val="20"/>
                <w:szCs w:val="20"/>
                <w:highlight w:val="cyan"/>
              </w:rPr>
            </w:pPr>
            <w:r>
              <w:rPr>
                <w:rFonts w:hint="eastAsia" w:ascii="宋体" w:hAnsi="宋体" w:cs="宋体"/>
                <w:kern w:val="0"/>
                <w:sz w:val="20"/>
                <w:szCs w:val="20"/>
                <w:highlight w:val="cyan"/>
              </w:rPr>
              <w:t>二十四、党组织工作经费</w:t>
            </w:r>
          </w:p>
        </w:tc>
        <w:tc>
          <w:tcPr>
            <w:tcW w:w="1027"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7"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6" w:type="dxa"/>
            <w:shd w:val="clear" w:color="000000" w:fill="FFFFFF"/>
            <w:noWrap w:val="0"/>
            <w:vAlign w:val="center"/>
          </w:tcPr>
          <w:p>
            <w:pPr>
              <w:widowControl/>
              <w:jc w:val="center"/>
              <w:rPr>
                <w:rFonts w:ascii="宋体" w:hAnsi="宋体" w:cs="宋体"/>
                <w:kern w:val="0"/>
                <w:sz w:val="20"/>
                <w:szCs w:val="20"/>
              </w:rPr>
            </w:pPr>
          </w:p>
        </w:tc>
        <w:tc>
          <w:tcPr>
            <w:tcW w:w="1025"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14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1065" w:type="dxa"/>
            <w:shd w:val="clear" w:color="000000" w:fill="FFFFFF"/>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二十五、其他</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shd w:val="clear" w:color="auto" w:fill="auto"/>
            <w:noWrap w:val="0"/>
            <w:vAlign w:val="center"/>
          </w:tcPr>
          <w:p>
            <w:pPr>
              <w:widowControl/>
              <w:jc w:val="center"/>
              <w:rPr>
                <w:rFonts w:ascii="宋体" w:hAnsi="宋体" w:cs="宋体"/>
                <w:kern w:val="0"/>
                <w:sz w:val="20"/>
                <w:szCs w:val="20"/>
              </w:rPr>
            </w:pPr>
          </w:p>
        </w:tc>
        <w:tc>
          <w:tcPr>
            <w:tcW w:w="1066" w:type="dxa"/>
            <w:shd w:val="clear" w:color="000000" w:fill="FFFFFF"/>
            <w:noWrap w:val="0"/>
            <w:vAlign w:val="center"/>
          </w:tcPr>
          <w:p>
            <w:pPr>
              <w:widowControl/>
              <w:jc w:val="center"/>
              <w:rPr>
                <w:rFonts w:ascii="宋体" w:hAnsi="宋体" w:cs="宋体"/>
                <w:kern w:val="0"/>
                <w:sz w:val="20"/>
                <w:szCs w:val="20"/>
              </w:rPr>
            </w:pPr>
          </w:p>
        </w:tc>
        <w:tc>
          <w:tcPr>
            <w:tcW w:w="1025" w:type="dxa"/>
            <w:shd w:val="clear" w:color="auto" w:fill="auto"/>
            <w:noWrap w:val="0"/>
            <w:vAlign w:val="center"/>
          </w:tcPr>
          <w:p>
            <w:pPr>
              <w:widowControl/>
              <w:jc w:val="center"/>
              <w:rPr>
                <w:rFonts w:ascii="宋体" w:hAnsi="宋体" w:cs="宋体"/>
                <w:kern w:val="0"/>
                <w:sz w:val="20"/>
                <w:szCs w:val="20"/>
              </w:rPr>
            </w:pPr>
          </w:p>
        </w:tc>
        <w:tc>
          <w:tcPr>
            <w:tcW w:w="1146" w:type="dxa"/>
            <w:shd w:val="clear" w:color="000000" w:fill="FFFFFF"/>
            <w:noWrap w:val="0"/>
            <w:vAlign w:val="center"/>
          </w:tcPr>
          <w:p>
            <w:pPr>
              <w:widowControl/>
              <w:jc w:val="center"/>
              <w:rPr>
                <w:rFonts w:ascii="宋体" w:hAnsi="宋体" w:cs="宋体"/>
                <w:kern w:val="0"/>
                <w:sz w:val="20"/>
                <w:szCs w:val="20"/>
              </w:rPr>
            </w:pPr>
          </w:p>
        </w:tc>
        <w:tc>
          <w:tcPr>
            <w:tcW w:w="1065" w:type="dxa"/>
            <w:shd w:val="clear" w:color="000000" w:fill="FFFFFF"/>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dxa"/>
            <w:shd w:val="clear" w:color="auto" w:fill="auto"/>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3193" w:type="dxa"/>
            <w:shd w:val="clear" w:color="000000" w:fill="FFFFFF"/>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合计(1+2+3+…25)</w:t>
            </w:r>
          </w:p>
        </w:tc>
        <w:tc>
          <w:tcPr>
            <w:tcW w:w="1027" w:type="dxa"/>
            <w:shd w:val="clear" w:color="000000" w:fill="FFFFFF"/>
            <w:noWrap w:val="0"/>
            <w:vAlign w:val="center"/>
          </w:tcPr>
          <w:p>
            <w:pPr>
              <w:widowControl/>
              <w:jc w:val="center"/>
              <w:rPr>
                <w:rFonts w:ascii="宋体" w:hAnsi="宋体" w:cs="宋体"/>
                <w:kern w:val="0"/>
                <w:sz w:val="20"/>
                <w:szCs w:val="20"/>
              </w:rPr>
            </w:pPr>
          </w:p>
        </w:tc>
        <w:tc>
          <w:tcPr>
            <w:tcW w:w="1147" w:type="dxa"/>
            <w:shd w:val="clear" w:color="000000" w:fill="FFFFFF"/>
            <w:noWrap w:val="0"/>
            <w:vAlign w:val="center"/>
          </w:tcPr>
          <w:p>
            <w:pPr>
              <w:widowControl/>
              <w:jc w:val="center"/>
              <w:rPr>
                <w:rFonts w:ascii="宋体" w:hAnsi="宋体" w:cs="宋体"/>
                <w:kern w:val="0"/>
                <w:sz w:val="20"/>
                <w:szCs w:val="20"/>
              </w:rPr>
            </w:pPr>
          </w:p>
        </w:tc>
        <w:tc>
          <w:tcPr>
            <w:tcW w:w="1066" w:type="dxa"/>
            <w:shd w:val="clear" w:color="000000" w:fill="FFFFFF"/>
            <w:noWrap w:val="0"/>
            <w:vAlign w:val="center"/>
          </w:tcPr>
          <w:p>
            <w:pPr>
              <w:widowControl/>
              <w:jc w:val="center"/>
              <w:rPr>
                <w:rFonts w:ascii="宋体" w:hAnsi="宋体" w:cs="宋体"/>
                <w:kern w:val="0"/>
                <w:sz w:val="20"/>
                <w:szCs w:val="20"/>
              </w:rPr>
            </w:pPr>
          </w:p>
        </w:tc>
        <w:tc>
          <w:tcPr>
            <w:tcW w:w="1025" w:type="dxa"/>
            <w:shd w:val="clear" w:color="000000" w:fill="FFFFFF"/>
            <w:noWrap w:val="0"/>
            <w:vAlign w:val="center"/>
          </w:tcPr>
          <w:p>
            <w:pPr>
              <w:widowControl/>
              <w:jc w:val="center"/>
              <w:rPr>
                <w:rFonts w:ascii="宋体" w:hAnsi="宋体" w:cs="宋体"/>
                <w:kern w:val="0"/>
                <w:sz w:val="20"/>
                <w:szCs w:val="20"/>
              </w:rPr>
            </w:pPr>
          </w:p>
        </w:tc>
        <w:tc>
          <w:tcPr>
            <w:tcW w:w="1146" w:type="dxa"/>
            <w:shd w:val="clear" w:color="000000" w:fill="FFFFFF"/>
            <w:noWrap w:val="0"/>
            <w:vAlign w:val="center"/>
          </w:tcPr>
          <w:p>
            <w:pPr>
              <w:widowControl/>
              <w:jc w:val="center"/>
              <w:rPr>
                <w:rFonts w:ascii="宋体" w:hAnsi="宋体" w:cs="宋体"/>
                <w:kern w:val="0"/>
                <w:sz w:val="20"/>
                <w:szCs w:val="20"/>
              </w:rPr>
            </w:pPr>
          </w:p>
        </w:tc>
        <w:tc>
          <w:tcPr>
            <w:tcW w:w="1065" w:type="dxa"/>
            <w:shd w:val="clear" w:color="000000" w:fill="FFFFFF"/>
            <w:noWrap w:val="0"/>
            <w:vAlign w:val="center"/>
          </w:tcPr>
          <w:p>
            <w:pPr>
              <w:widowControl/>
              <w:jc w:val="center"/>
              <w:rPr>
                <w:rFonts w:ascii="宋体" w:hAnsi="宋体" w:cs="宋体"/>
                <w:kern w:val="0"/>
                <w:sz w:val="20"/>
                <w:szCs w:val="20"/>
              </w:rPr>
            </w:pP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pStyle w:val="4"/>
        <w:bidi w:val="0"/>
        <w:rPr>
          <w:rFonts w:hint="eastAsia"/>
          <w:lang w:eastAsia="zh-CN"/>
        </w:rPr>
      </w:pPr>
      <w:r>
        <w:rPr>
          <w:rFonts w:hint="eastAsia"/>
          <w:lang w:eastAsia="zh-CN"/>
        </w:rPr>
        <w:t>A104000</w:t>
      </w:r>
      <w:r>
        <w:rPr>
          <w:rFonts w:hint="eastAsia"/>
          <w:lang w:eastAsia="zh-CN"/>
        </w:rPr>
        <w:tab/>
      </w:r>
      <w:r>
        <w:rPr>
          <w:rFonts w:hint="eastAsia"/>
          <w:lang w:eastAsia="zh-CN"/>
        </w:rPr>
        <w:t>《期间费用明细表》填报说明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执行企业会计准则、小企业会计准则、企业会计制度、分行业会计制度的查账征收居民纳税人填报。纳税人应根据企业会计准则、小企业会计准则、企业会计、分行业会计制度规定，填报“销售费用”“管理费用”和“财务费用”等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1、第1列“销售费用”：填报在销售费用科目进行核算的相关明细项目的金额，其中金融企业填报在业务及管理费科目进行核算的相关明细项目的金额。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2、第2列“其中：境外支付”：填报在销售费用科目进行核算的向境外支付的相关明细项目的金额，其中金融企业填报在业务及管理费科目进行核算的相关明细项目的金额。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3、第3列“管理费用”：填报在管理费用科目进行核算的相关明细项目的金额。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4、第4列“其中：境外支付”：填报在管理费用科目进行核算的向境外支付的相关明细项目的金额。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5、第5列“财务费用”：填报在财务费用科目进行核算的有关明细项目的金额。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6、第6列“其中：境外支付”：填报在财务费用科目进行核算的向境外支付的有关明细项目的金额。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7、第1行至第25行：根据费用科目核算的具体项目金额进行填报，如果贷方发生额大于借方发生额，应填报负数。</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8、第26行第1列：填报第1行至第25行第1列的合计金额。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9、第26行第2列：填报第1行至第25行第2列的合计金额。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10、第26行第3列：填报第1行至第25行第3列的合计金额。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11、第26行第4列：填报第1行至第25行第4列的合计金额。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12、第26行第5列：填报第1行至第25行第5列的合计金额。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13、第26行第6列：填报第1行至第25行第6列的合计金额。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1、第26行第1列＝第1列第1+2+…+20+25行。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2、第26行第2列＝第2列第2+3+6+11+15+16+18+19+25行。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3、第26行第3列＝第3列第1+2+…+20+24+25行。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4、第26行第4列＝第4列第2+3+6+11+15+16+18+19+25行。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5、第26行第5列＝第5列第6+21+22+23+25行。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6、第26行第6列＝第6列第6+21+22+25行。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1、第26行第1列＝表A100000第4行。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2、第26行第3列＝表A100000第5行。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3、第26行第5列＝表A100000第6行。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A105000</w:t>
      </w:r>
      <w:r>
        <w:rPr>
          <w:rFonts w:hint="eastAsia"/>
          <w:lang w:eastAsia="zh-CN"/>
        </w:rPr>
        <w:tab/>
      </w:r>
      <w:r>
        <w:rPr>
          <w:rFonts w:hint="eastAsia"/>
          <w:lang w:eastAsia="zh-CN"/>
        </w:rPr>
        <w:t>纳税调整项目明细表</w:t>
      </w:r>
    </w:p>
    <w:tbl>
      <w:tblPr>
        <w:tblStyle w:val="8"/>
        <w:tblW w:w="10304" w:type="dxa"/>
        <w:tblInd w:w="47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30"/>
        <w:gridCol w:w="5314"/>
        <w:gridCol w:w="1090"/>
        <w:gridCol w:w="1090"/>
        <w:gridCol w:w="1090"/>
        <w:gridCol w:w="109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9" w:hRule="atLeast"/>
        </w:trPr>
        <w:tc>
          <w:tcPr>
            <w:tcW w:w="630" w:type="dxa"/>
            <w:vMerge w:val="restart"/>
            <w:tcBorders>
              <w:bottom w:val="single" w:color="000000" w:sz="6" w:space="0"/>
              <w:right w:val="single" w:color="000000" w:sz="6" w:space="0"/>
            </w:tcBorders>
            <w:noWrap w:val="0"/>
            <w:vAlign w:val="top"/>
          </w:tcPr>
          <w:p>
            <w:pPr>
              <w:pStyle w:val="11"/>
              <w:spacing w:before="137"/>
              <w:ind w:left="114"/>
              <w:rPr>
                <w:sz w:val="20"/>
              </w:rPr>
            </w:pPr>
            <w:r>
              <w:rPr>
                <w:sz w:val="20"/>
              </w:rPr>
              <w:t>行次</w:t>
            </w:r>
          </w:p>
        </w:tc>
        <w:tc>
          <w:tcPr>
            <w:tcW w:w="5314" w:type="dxa"/>
            <w:vMerge w:val="restart"/>
            <w:tcBorders>
              <w:left w:val="single" w:color="000000" w:sz="6" w:space="0"/>
              <w:bottom w:val="single" w:color="000000" w:sz="6" w:space="0"/>
              <w:right w:val="single" w:color="000000" w:sz="6" w:space="0"/>
            </w:tcBorders>
            <w:noWrap w:val="0"/>
            <w:vAlign w:val="top"/>
          </w:tcPr>
          <w:p>
            <w:pPr>
              <w:pStyle w:val="11"/>
              <w:spacing w:before="137"/>
              <w:ind w:left="2442" w:right="2417"/>
              <w:jc w:val="center"/>
              <w:rPr>
                <w:sz w:val="20"/>
              </w:rPr>
            </w:pPr>
            <w:r>
              <w:rPr>
                <w:sz w:val="20"/>
              </w:rPr>
              <w:t>项目</w:t>
            </w:r>
          </w:p>
        </w:tc>
        <w:tc>
          <w:tcPr>
            <w:tcW w:w="1090" w:type="dxa"/>
            <w:tcBorders>
              <w:left w:val="single" w:color="000000" w:sz="6" w:space="0"/>
              <w:bottom w:val="single" w:color="000000" w:sz="6" w:space="0"/>
              <w:right w:val="single" w:color="000000" w:sz="6" w:space="0"/>
            </w:tcBorders>
            <w:noWrap w:val="0"/>
            <w:vAlign w:val="top"/>
          </w:tcPr>
          <w:p>
            <w:pPr>
              <w:pStyle w:val="11"/>
              <w:spacing w:line="239" w:lineRule="exact"/>
              <w:ind w:left="130" w:right="104"/>
              <w:jc w:val="center"/>
              <w:rPr>
                <w:sz w:val="20"/>
              </w:rPr>
            </w:pPr>
            <w:r>
              <w:rPr>
                <w:sz w:val="20"/>
              </w:rPr>
              <w:t>账载金额</w:t>
            </w:r>
          </w:p>
        </w:tc>
        <w:tc>
          <w:tcPr>
            <w:tcW w:w="1090" w:type="dxa"/>
            <w:tcBorders>
              <w:left w:val="single" w:color="000000" w:sz="6" w:space="0"/>
              <w:bottom w:val="single" w:color="000000" w:sz="6" w:space="0"/>
              <w:right w:val="single" w:color="000000" w:sz="6" w:space="0"/>
            </w:tcBorders>
            <w:noWrap w:val="0"/>
            <w:vAlign w:val="top"/>
          </w:tcPr>
          <w:p>
            <w:pPr>
              <w:pStyle w:val="11"/>
              <w:spacing w:line="239" w:lineRule="exact"/>
              <w:ind w:left="130" w:right="104"/>
              <w:jc w:val="center"/>
              <w:rPr>
                <w:sz w:val="20"/>
              </w:rPr>
            </w:pPr>
            <w:r>
              <w:rPr>
                <w:sz w:val="20"/>
              </w:rPr>
              <w:t>税收金额</w:t>
            </w:r>
          </w:p>
        </w:tc>
        <w:tc>
          <w:tcPr>
            <w:tcW w:w="1090" w:type="dxa"/>
            <w:tcBorders>
              <w:left w:val="single" w:color="000000" w:sz="6" w:space="0"/>
              <w:bottom w:val="single" w:color="000000" w:sz="6" w:space="0"/>
              <w:right w:val="single" w:color="000000" w:sz="6" w:space="0"/>
            </w:tcBorders>
            <w:noWrap w:val="0"/>
            <w:vAlign w:val="top"/>
          </w:tcPr>
          <w:p>
            <w:pPr>
              <w:pStyle w:val="11"/>
              <w:spacing w:line="239" w:lineRule="exact"/>
              <w:ind w:left="129" w:right="104"/>
              <w:jc w:val="center"/>
              <w:rPr>
                <w:sz w:val="20"/>
              </w:rPr>
            </w:pPr>
            <w:r>
              <w:rPr>
                <w:sz w:val="20"/>
              </w:rPr>
              <w:t>调增金额</w:t>
            </w:r>
          </w:p>
        </w:tc>
        <w:tc>
          <w:tcPr>
            <w:tcW w:w="1090" w:type="dxa"/>
            <w:tcBorders>
              <w:left w:val="single" w:color="000000" w:sz="6" w:space="0"/>
              <w:bottom w:val="single" w:color="000000" w:sz="6" w:space="0"/>
            </w:tcBorders>
            <w:noWrap w:val="0"/>
            <w:vAlign w:val="top"/>
          </w:tcPr>
          <w:p>
            <w:pPr>
              <w:pStyle w:val="11"/>
              <w:spacing w:line="239" w:lineRule="exact"/>
              <w:ind w:left="131" w:right="95"/>
              <w:jc w:val="center"/>
              <w:rPr>
                <w:sz w:val="20"/>
              </w:rPr>
            </w:pPr>
            <w:r>
              <w:rPr>
                <w:sz w:val="20"/>
              </w:rPr>
              <w:t>调减金额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9" w:hRule="atLeast"/>
        </w:trPr>
        <w:tc>
          <w:tcPr>
            <w:tcW w:w="630" w:type="dxa"/>
            <w:vMerge w:val="continue"/>
            <w:tcBorders>
              <w:top w:val="nil"/>
              <w:bottom w:val="single" w:color="000000" w:sz="6" w:space="0"/>
              <w:right w:val="single" w:color="000000" w:sz="6" w:space="0"/>
            </w:tcBorders>
            <w:noWrap w:val="0"/>
            <w:vAlign w:val="top"/>
          </w:tcPr>
          <w:p>
            <w:pPr>
              <w:rPr>
                <w:sz w:val="2"/>
                <w:szCs w:val="2"/>
              </w:rPr>
            </w:pPr>
          </w:p>
        </w:tc>
        <w:tc>
          <w:tcPr>
            <w:tcW w:w="5314"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37" w:lineRule="exact"/>
              <w:ind w:left="28"/>
              <w:jc w:val="center"/>
              <w:rPr>
                <w:sz w:val="20"/>
              </w:rPr>
            </w:pPr>
            <w:r>
              <w:rPr>
                <w:w w:val="99"/>
                <w:sz w:val="20"/>
              </w:rPr>
              <w:t>1</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37" w:lineRule="exact"/>
              <w:ind w:left="27"/>
              <w:jc w:val="center"/>
              <w:rPr>
                <w:sz w:val="20"/>
              </w:rPr>
            </w:pPr>
            <w:r>
              <w:rPr>
                <w:w w:val="99"/>
                <w:sz w:val="20"/>
              </w:rPr>
              <w:t>2</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37" w:lineRule="exact"/>
              <w:ind w:left="26"/>
              <w:jc w:val="center"/>
              <w:rPr>
                <w:sz w:val="20"/>
              </w:rPr>
            </w:pPr>
            <w:r>
              <w:rPr>
                <w:w w:val="99"/>
                <w:sz w:val="20"/>
              </w:rPr>
              <w:t>3</w:t>
            </w:r>
          </w:p>
        </w:tc>
        <w:tc>
          <w:tcPr>
            <w:tcW w:w="1090" w:type="dxa"/>
            <w:tcBorders>
              <w:top w:val="single" w:color="000000" w:sz="6" w:space="0"/>
              <w:left w:val="single" w:color="000000" w:sz="6" w:space="0"/>
              <w:bottom w:val="single" w:color="000000" w:sz="6" w:space="0"/>
            </w:tcBorders>
            <w:noWrap w:val="0"/>
            <w:vAlign w:val="top"/>
          </w:tcPr>
          <w:p>
            <w:pPr>
              <w:pStyle w:val="11"/>
              <w:spacing w:before="2" w:line="237" w:lineRule="exact"/>
              <w:ind w:left="33"/>
              <w:jc w:val="center"/>
              <w:rPr>
                <w:sz w:val="20"/>
              </w:rPr>
            </w:pPr>
            <w:r>
              <w:rPr>
                <w:w w:val="99"/>
                <w:sz w:val="20"/>
              </w:rPr>
              <w:t>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242"/>
              <w:jc w:val="right"/>
              <w:rPr>
                <w:sz w:val="20"/>
              </w:rPr>
            </w:pPr>
            <w:r>
              <w:rPr>
                <w:w w:val="99"/>
                <w:sz w:val="20"/>
              </w:rPr>
              <w:t>1</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115"/>
              <w:rPr>
                <w:sz w:val="20"/>
              </w:rPr>
            </w:pPr>
            <w:r>
              <w:rPr>
                <w:sz w:val="20"/>
              </w:rPr>
              <w:t>一、收入类调整项目（2+3+…8+10+11）</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1"/>
              <w:ind w:right="242"/>
              <w:jc w:val="right"/>
              <w:rPr>
                <w:sz w:val="20"/>
              </w:rPr>
            </w:pPr>
            <w:r>
              <w:rPr>
                <w:w w:val="99"/>
                <w:sz w:val="20"/>
              </w:rPr>
              <w:t>2</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514"/>
              <w:rPr>
                <w:sz w:val="20"/>
              </w:rPr>
            </w:pPr>
            <w:r>
              <w:rPr>
                <w:sz w:val="20"/>
              </w:rPr>
              <w:t>（一）视同销售收入（填写 A105010）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1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242"/>
              <w:jc w:val="right"/>
              <w:rPr>
                <w:sz w:val="20"/>
              </w:rPr>
            </w:pPr>
            <w:r>
              <w:rPr>
                <w:w w:val="99"/>
                <w:sz w:val="20"/>
              </w:rPr>
              <w:t>3</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right="-15"/>
              <w:jc w:val="right"/>
              <w:rPr>
                <w:sz w:val="20"/>
              </w:rPr>
            </w:pPr>
            <w:r>
              <w:rPr>
                <w:sz w:val="20"/>
              </w:rPr>
              <w:t>（二</w:t>
            </w:r>
            <w:r>
              <w:rPr>
                <w:spacing w:val="-75"/>
                <w:sz w:val="20"/>
              </w:rPr>
              <w:t>）</w:t>
            </w:r>
            <w:r>
              <w:rPr>
                <w:spacing w:val="-6"/>
                <w:sz w:val="20"/>
              </w:rPr>
              <w:t>未按权责发生制原则确认的收入</w:t>
            </w:r>
            <w:r>
              <w:rPr>
                <w:sz w:val="20"/>
              </w:rPr>
              <w:t>（</w:t>
            </w:r>
            <w:r>
              <w:rPr>
                <w:spacing w:val="-22"/>
                <w:sz w:val="20"/>
              </w:rPr>
              <w:t xml:space="preserve">填写 </w:t>
            </w:r>
            <w:r>
              <w:rPr>
                <w:sz w:val="20"/>
              </w:rPr>
              <w:t>A105020）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242"/>
              <w:jc w:val="right"/>
              <w:rPr>
                <w:sz w:val="20"/>
              </w:rPr>
            </w:pPr>
            <w:r>
              <w:rPr>
                <w:w w:val="99"/>
                <w:sz w:val="20"/>
              </w:rPr>
              <w:t>4</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（三）投资收益（填写 A105030）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30"/>
              <w:ind w:right="242"/>
              <w:jc w:val="right"/>
              <w:rPr>
                <w:sz w:val="20"/>
              </w:rPr>
            </w:pPr>
            <w:r>
              <w:rPr>
                <w:w w:val="99"/>
                <w:sz w:val="20"/>
              </w:rPr>
              <w:t>5</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516"/>
              <w:rPr>
                <w:sz w:val="20"/>
              </w:rPr>
            </w:pPr>
            <w:r>
              <w:rPr>
                <w:sz w:val="20"/>
              </w:rPr>
              <w:t>（四）按权益法核算长期股权投资对初始投资成本调</w:t>
            </w:r>
          </w:p>
          <w:p>
            <w:pPr>
              <w:pStyle w:val="11"/>
              <w:spacing w:before="3" w:line="239" w:lineRule="exact"/>
              <w:ind w:left="1128"/>
              <w:rPr>
                <w:sz w:val="20"/>
              </w:rPr>
            </w:pPr>
            <w:r>
              <w:rPr>
                <w:sz w:val="20"/>
              </w:rPr>
              <w:t>整确认收益</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6"/>
              <w:jc w:val="center"/>
              <w:rPr>
                <w:sz w:val="20"/>
              </w:rPr>
            </w:pPr>
            <w:r>
              <w:rPr>
                <w:w w:val="99"/>
                <w:sz w:val="20"/>
              </w:rPr>
              <w:t>*</w:t>
            </w: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242"/>
              <w:jc w:val="right"/>
              <w:rPr>
                <w:sz w:val="20"/>
              </w:rPr>
            </w:pPr>
            <w:r>
              <w:rPr>
                <w:w w:val="99"/>
                <w:sz w:val="20"/>
              </w:rPr>
              <w:t>6</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（五）交易性金融资产初始投资调整</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10"/>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1"/>
              <w:ind w:right="242"/>
              <w:jc w:val="right"/>
              <w:rPr>
                <w:sz w:val="20"/>
              </w:rPr>
            </w:pPr>
            <w:r>
              <w:rPr>
                <w:w w:val="99"/>
                <w:sz w:val="20"/>
              </w:rPr>
              <w:t>7</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514"/>
              <w:rPr>
                <w:sz w:val="20"/>
              </w:rPr>
            </w:pPr>
            <w:r>
              <w:rPr>
                <w:sz w:val="20"/>
              </w:rPr>
              <w:t>（六）公允价值变动净损益</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242"/>
              <w:jc w:val="right"/>
              <w:rPr>
                <w:sz w:val="20"/>
              </w:rPr>
            </w:pPr>
            <w:r>
              <w:rPr>
                <w:w w:val="99"/>
                <w:sz w:val="20"/>
              </w:rPr>
              <w:t>8</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（七）不征税收入</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1"/>
              <w:ind w:right="242"/>
              <w:jc w:val="right"/>
              <w:rPr>
                <w:sz w:val="20"/>
              </w:rPr>
            </w:pPr>
            <w:r>
              <w:rPr>
                <w:w w:val="99"/>
                <w:sz w:val="20"/>
              </w:rPr>
              <w:t>9</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1164"/>
              <w:rPr>
                <w:sz w:val="20"/>
              </w:rPr>
            </w:pPr>
            <w:r>
              <w:rPr>
                <w:sz w:val="20"/>
              </w:rPr>
              <w:t>其中：专项用途财政性资金（填写 A105040）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10</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514"/>
              <w:rPr>
                <w:sz w:val="20"/>
              </w:rPr>
            </w:pPr>
            <w:r>
              <w:rPr>
                <w:sz w:val="20"/>
              </w:rPr>
              <w:t>（八）销售折扣、折让和退回</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11</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（九）其他</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12</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115"/>
              <w:rPr>
                <w:sz w:val="20"/>
              </w:rPr>
            </w:pPr>
            <w:r>
              <w:rPr>
                <w:sz w:val="20"/>
              </w:rPr>
              <w:t>二、扣除类调整项目（13+14+…24+26+27+28+29+30）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13</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（一）视同销售成本（填写 A105010）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6"/>
              <w:jc w:val="center"/>
              <w:rPr>
                <w:sz w:val="20"/>
              </w:rPr>
            </w:pPr>
            <w:r>
              <w:rPr>
                <w:w w:val="99"/>
                <w:sz w:val="20"/>
              </w:rPr>
              <w:t>*</w:t>
            </w: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1"/>
              <w:ind w:right="190"/>
              <w:jc w:val="right"/>
              <w:rPr>
                <w:sz w:val="20"/>
              </w:rPr>
            </w:pPr>
            <w:r>
              <w:rPr>
                <w:sz w:val="20"/>
              </w:rPr>
              <w:t>14</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514"/>
              <w:rPr>
                <w:sz w:val="20"/>
              </w:rPr>
            </w:pPr>
            <w:r>
              <w:rPr>
                <w:sz w:val="20"/>
              </w:rPr>
              <w:t>（二）职工薪酬（填写 A105050）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15</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514"/>
              <w:rPr>
                <w:sz w:val="20"/>
              </w:rPr>
            </w:pPr>
            <w:r>
              <w:rPr>
                <w:sz w:val="20"/>
              </w:rPr>
              <w:t>（三）业务招待费支出</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09"/>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16</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（四）广告费和业务宣传费支出（填写 A105060）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17</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514"/>
              <w:rPr>
                <w:sz w:val="20"/>
              </w:rPr>
            </w:pPr>
            <w:r>
              <w:rPr>
                <w:sz w:val="20"/>
              </w:rPr>
              <w:t>（五）捐赠支出（填写 A105070）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18</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（六）利息支出</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1"/>
              <w:ind w:right="190"/>
              <w:jc w:val="right"/>
              <w:rPr>
                <w:sz w:val="20"/>
              </w:rPr>
            </w:pPr>
            <w:r>
              <w:rPr>
                <w:sz w:val="20"/>
              </w:rPr>
              <w:t>19</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514"/>
              <w:rPr>
                <w:sz w:val="20"/>
              </w:rPr>
            </w:pPr>
            <w:r>
              <w:rPr>
                <w:sz w:val="20"/>
              </w:rPr>
              <w:t>（七）罚金、罚款和被没收财物的损失</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1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20</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（八）税收滞纳金、加收利息</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10"/>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1"/>
              <w:ind w:right="190"/>
              <w:jc w:val="right"/>
              <w:rPr>
                <w:sz w:val="20"/>
              </w:rPr>
            </w:pPr>
            <w:r>
              <w:rPr>
                <w:sz w:val="20"/>
              </w:rPr>
              <w:t>21</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514"/>
              <w:rPr>
                <w:sz w:val="20"/>
              </w:rPr>
            </w:pPr>
            <w:r>
              <w:rPr>
                <w:sz w:val="20"/>
              </w:rPr>
              <w:t>（九）赞助支出</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1"/>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1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6"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22</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514"/>
              <w:rPr>
                <w:sz w:val="20"/>
              </w:rPr>
            </w:pPr>
            <w:r>
              <w:rPr>
                <w:sz w:val="20"/>
              </w:rPr>
              <w:t>（十）与未实现融资收益相关在当期确认的财务费用</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23</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right="33"/>
              <w:jc w:val="right"/>
              <w:rPr>
                <w:sz w:val="20"/>
              </w:rPr>
            </w:pPr>
            <w:r>
              <w:rPr>
                <w:sz w:val="20"/>
              </w:rPr>
              <w:t>（十一）佣金和手续费支出（保险企业填写 A105060）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24</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514"/>
              <w:rPr>
                <w:sz w:val="20"/>
              </w:rPr>
            </w:pPr>
            <w:r>
              <w:rPr>
                <w:sz w:val="20"/>
              </w:rPr>
              <w:t>（十二）不征税收入用于支出所形成的费用</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09"/>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31"/>
              <w:ind w:right="190"/>
              <w:jc w:val="right"/>
              <w:rPr>
                <w:sz w:val="20"/>
              </w:rPr>
            </w:pPr>
            <w:r>
              <w:rPr>
                <w:sz w:val="20"/>
              </w:rPr>
              <w:t>25</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ind w:left="1164"/>
              <w:rPr>
                <w:sz w:val="20"/>
              </w:rPr>
            </w:pPr>
            <w:r>
              <w:rPr>
                <w:sz w:val="20"/>
              </w:rPr>
              <w:t>其中：专项用途财政性资金用于支出所形成的</w:t>
            </w:r>
          </w:p>
          <w:p>
            <w:pPr>
              <w:pStyle w:val="11"/>
              <w:spacing w:before="3" w:line="238" w:lineRule="exact"/>
              <w:ind w:left="1651"/>
              <w:rPr>
                <w:sz w:val="20"/>
              </w:rPr>
            </w:pPr>
            <w:r>
              <w:rPr>
                <w:sz w:val="20"/>
              </w:rPr>
              <w:t>费用（填写 A105040）</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1"/>
              <w:ind w:left="28"/>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1"/>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3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5"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09"/>
              <w:ind w:right="190"/>
              <w:jc w:val="right"/>
              <w:rPr>
                <w:sz w:val="20"/>
              </w:rPr>
            </w:pPr>
            <w:r>
              <w:rPr>
                <w:sz w:val="20"/>
              </w:rPr>
              <w:t>26</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9"/>
              <w:ind w:left="514"/>
              <w:rPr>
                <w:sz w:val="20"/>
              </w:rPr>
            </w:pPr>
            <w:r>
              <w:rPr>
                <w:sz w:val="20"/>
              </w:rPr>
              <w:t>（十三）跨期扣除项目</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4" w:hRule="atLeast"/>
        </w:trPr>
        <w:tc>
          <w:tcPr>
            <w:tcW w:w="630" w:type="dxa"/>
            <w:tcBorders>
              <w:top w:val="single" w:color="000000" w:sz="6" w:space="0"/>
              <w:bottom w:val="single" w:color="000000" w:sz="6" w:space="0"/>
              <w:right w:val="single" w:color="000000" w:sz="6" w:space="0"/>
            </w:tcBorders>
            <w:noWrap w:val="0"/>
            <w:vAlign w:val="top"/>
          </w:tcPr>
          <w:p>
            <w:pPr>
              <w:pStyle w:val="11"/>
              <w:spacing w:before="110"/>
              <w:ind w:right="190"/>
              <w:jc w:val="right"/>
              <w:rPr>
                <w:sz w:val="20"/>
              </w:rPr>
            </w:pPr>
            <w:r>
              <w:rPr>
                <w:sz w:val="20"/>
              </w:rPr>
              <w:t>27</w:t>
            </w:r>
          </w:p>
        </w:tc>
        <w:tc>
          <w:tcPr>
            <w:tcW w:w="531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514"/>
              <w:rPr>
                <w:sz w:val="20"/>
              </w:rPr>
            </w:pPr>
            <w:r>
              <w:rPr>
                <w:sz w:val="20"/>
              </w:rPr>
              <w:t>（十四）与取得收入无关的支出</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10"/>
              <w:ind w:left="27"/>
              <w:jc w:val="center"/>
              <w:rPr>
                <w:sz w:val="20"/>
              </w:rPr>
            </w:pPr>
            <w:r>
              <w:rPr>
                <w:w w:val="99"/>
                <w:sz w:val="20"/>
              </w:rPr>
              <w:t>*</w:t>
            </w:r>
          </w:p>
        </w:tc>
        <w:tc>
          <w:tcPr>
            <w:tcW w:w="109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90" w:type="dxa"/>
            <w:tcBorders>
              <w:top w:val="single" w:color="000000" w:sz="6" w:space="0"/>
              <w:left w:val="single" w:color="000000" w:sz="6" w:space="0"/>
              <w:bottom w:val="single" w:color="000000" w:sz="6" w:space="0"/>
            </w:tcBorders>
            <w:noWrap w:val="0"/>
            <w:vAlign w:val="top"/>
          </w:tcPr>
          <w:p>
            <w:pPr>
              <w:pStyle w:val="11"/>
              <w:spacing w:before="110"/>
              <w:ind w:left="33"/>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5"/>
              <w:ind w:left="93" w:right="70"/>
              <w:jc w:val="center"/>
              <w:rPr>
                <w:sz w:val="20"/>
              </w:rPr>
            </w:pPr>
            <w:r>
              <w:rPr>
                <w:sz w:val="20"/>
              </w:rPr>
              <w:t>28</w:t>
            </w:r>
          </w:p>
        </w:tc>
        <w:tc>
          <w:tcPr>
            <w:tcW w:w="5314" w:type="dxa"/>
            <w:noWrap w:val="0"/>
            <w:vAlign w:val="top"/>
          </w:tcPr>
          <w:p>
            <w:pPr>
              <w:pStyle w:val="11"/>
              <w:spacing w:before="105"/>
              <w:ind w:left="514"/>
              <w:rPr>
                <w:sz w:val="20"/>
              </w:rPr>
            </w:pPr>
            <w:r>
              <w:rPr>
                <w:sz w:val="20"/>
              </w:rPr>
              <w:t>（十五）境外所得分摊的共同支出</w:t>
            </w:r>
          </w:p>
        </w:tc>
        <w:tc>
          <w:tcPr>
            <w:tcW w:w="1090" w:type="dxa"/>
            <w:noWrap w:val="0"/>
            <w:vAlign w:val="top"/>
          </w:tcPr>
          <w:p>
            <w:pPr>
              <w:pStyle w:val="11"/>
              <w:spacing w:before="105"/>
              <w:ind w:left="501"/>
              <w:rPr>
                <w:sz w:val="20"/>
              </w:rPr>
            </w:pPr>
            <w:r>
              <w:rPr>
                <w:w w:val="99"/>
                <w:sz w:val="20"/>
              </w:rPr>
              <w:t>*</w:t>
            </w:r>
          </w:p>
        </w:tc>
        <w:tc>
          <w:tcPr>
            <w:tcW w:w="1090" w:type="dxa"/>
            <w:noWrap w:val="0"/>
            <w:vAlign w:val="top"/>
          </w:tcPr>
          <w:p>
            <w:pPr>
              <w:pStyle w:val="11"/>
              <w:spacing w:before="105"/>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spacing w:before="105"/>
              <w:ind w:left="33"/>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6"/>
              <w:ind w:left="93" w:right="70"/>
              <w:jc w:val="center"/>
              <w:rPr>
                <w:sz w:val="20"/>
              </w:rPr>
            </w:pPr>
            <w:r>
              <w:rPr>
                <w:sz w:val="20"/>
              </w:rPr>
              <w:t>29</w:t>
            </w:r>
          </w:p>
        </w:tc>
        <w:tc>
          <w:tcPr>
            <w:tcW w:w="5314" w:type="dxa"/>
            <w:noWrap w:val="0"/>
            <w:vAlign w:val="top"/>
          </w:tcPr>
          <w:p>
            <w:pPr>
              <w:pStyle w:val="11"/>
              <w:spacing w:before="106"/>
              <w:ind w:left="514"/>
              <w:rPr>
                <w:sz w:val="20"/>
              </w:rPr>
            </w:pPr>
            <w:r>
              <w:rPr>
                <w:sz w:val="20"/>
              </w:rPr>
              <w:t>（十六）党组织工作经费</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7"/>
              <w:ind w:left="93" w:right="70"/>
              <w:jc w:val="center"/>
              <w:rPr>
                <w:sz w:val="20"/>
              </w:rPr>
            </w:pPr>
            <w:r>
              <w:rPr>
                <w:sz w:val="20"/>
              </w:rPr>
              <w:t>30</w:t>
            </w:r>
          </w:p>
        </w:tc>
        <w:tc>
          <w:tcPr>
            <w:tcW w:w="5314" w:type="dxa"/>
            <w:noWrap w:val="0"/>
            <w:vAlign w:val="top"/>
          </w:tcPr>
          <w:p>
            <w:pPr>
              <w:pStyle w:val="11"/>
              <w:spacing w:before="107"/>
              <w:ind w:left="514"/>
              <w:rPr>
                <w:sz w:val="20"/>
              </w:rPr>
            </w:pPr>
            <w:r>
              <w:rPr>
                <w:sz w:val="20"/>
              </w:rPr>
              <w:t>（十七）其他</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75" w:hRule="atLeast"/>
        </w:trPr>
        <w:tc>
          <w:tcPr>
            <w:tcW w:w="630" w:type="dxa"/>
            <w:tcBorders>
              <w:left w:val="single" w:color="000000" w:sz="12" w:space="0"/>
            </w:tcBorders>
            <w:noWrap w:val="0"/>
            <w:vAlign w:val="top"/>
          </w:tcPr>
          <w:p>
            <w:pPr>
              <w:pStyle w:val="11"/>
              <w:spacing w:before="105"/>
              <w:ind w:left="93" w:right="70"/>
              <w:jc w:val="center"/>
              <w:rPr>
                <w:sz w:val="20"/>
              </w:rPr>
            </w:pPr>
            <w:r>
              <w:rPr>
                <w:sz w:val="20"/>
              </w:rPr>
              <w:t>31</w:t>
            </w:r>
          </w:p>
        </w:tc>
        <w:tc>
          <w:tcPr>
            <w:tcW w:w="5314" w:type="dxa"/>
            <w:noWrap w:val="0"/>
            <w:vAlign w:val="top"/>
          </w:tcPr>
          <w:p>
            <w:pPr>
              <w:pStyle w:val="11"/>
              <w:spacing w:before="105"/>
              <w:ind w:left="115"/>
              <w:rPr>
                <w:sz w:val="20"/>
              </w:rPr>
            </w:pPr>
            <w:r>
              <w:rPr>
                <w:sz w:val="20"/>
              </w:rPr>
              <w:t>三、资产类调整项目（32+33+34+35）</w:t>
            </w:r>
          </w:p>
        </w:tc>
        <w:tc>
          <w:tcPr>
            <w:tcW w:w="1090" w:type="dxa"/>
            <w:noWrap w:val="0"/>
            <w:vAlign w:val="top"/>
          </w:tcPr>
          <w:p>
            <w:pPr>
              <w:pStyle w:val="11"/>
              <w:spacing w:before="105"/>
              <w:ind w:left="501"/>
              <w:rPr>
                <w:sz w:val="20"/>
              </w:rPr>
            </w:pPr>
            <w:r>
              <w:rPr>
                <w:w w:val="99"/>
                <w:sz w:val="20"/>
              </w:rPr>
              <w:t>*</w:t>
            </w:r>
          </w:p>
        </w:tc>
        <w:tc>
          <w:tcPr>
            <w:tcW w:w="1090" w:type="dxa"/>
            <w:noWrap w:val="0"/>
            <w:vAlign w:val="top"/>
          </w:tcPr>
          <w:p>
            <w:pPr>
              <w:pStyle w:val="11"/>
              <w:spacing w:before="105"/>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6"/>
              <w:ind w:left="93" w:right="70"/>
              <w:jc w:val="center"/>
              <w:rPr>
                <w:sz w:val="20"/>
              </w:rPr>
            </w:pPr>
            <w:r>
              <w:rPr>
                <w:sz w:val="20"/>
              </w:rPr>
              <w:t>32</w:t>
            </w:r>
          </w:p>
        </w:tc>
        <w:tc>
          <w:tcPr>
            <w:tcW w:w="5314" w:type="dxa"/>
            <w:noWrap w:val="0"/>
            <w:vAlign w:val="top"/>
          </w:tcPr>
          <w:p>
            <w:pPr>
              <w:pStyle w:val="11"/>
              <w:spacing w:before="106"/>
              <w:ind w:left="514"/>
              <w:rPr>
                <w:sz w:val="20"/>
              </w:rPr>
            </w:pPr>
            <w:r>
              <w:rPr>
                <w:sz w:val="20"/>
              </w:rPr>
              <w:t>（一）资产折旧、摊销（填写 A105080）</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5"/>
              <w:ind w:left="93" w:right="70"/>
              <w:jc w:val="center"/>
              <w:rPr>
                <w:sz w:val="20"/>
              </w:rPr>
            </w:pPr>
            <w:r>
              <w:rPr>
                <w:sz w:val="20"/>
              </w:rPr>
              <w:t>33</w:t>
            </w:r>
          </w:p>
        </w:tc>
        <w:tc>
          <w:tcPr>
            <w:tcW w:w="5314" w:type="dxa"/>
            <w:noWrap w:val="0"/>
            <w:vAlign w:val="top"/>
          </w:tcPr>
          <w:p>
            <w:pPr>
              <w:pStyle w:val="11"/>
              <w:spacing w:before="105"/>
              <w:ind w:left="514"/>
              <w:rPr>
                <w:sz w:val="20"/>
              </w:rPr>
            </w:pPr>
            <w:r>
              <w:rPr>
                <w:sz w:val="20"/>
              </w:rPr>
              <w:t>（二）资产减值准备金</w:t>
            </w:r>
          </w:p>
        </w:tc>
        <w:tc>
          <w:tcPr>
            <w:tcW w:w="1090" w:type="dxa"/>
            <w:noWrap w:val="0"/>
            <w:vAlign w:val="top"/>
          </w:tcPr>
          <w:p>
            <w:pPr>
              <w:pStyle w:val="11"/>
              <w:rPr>
                <w:rFonts w:ascii="Times New Roman"/>
                <w:sz w:val="18"/>
              </w:rPr>
            </w:pPr>
          </w:p>
        </w:tc>
        <w:tc>
          <w:tcPr>
            <w:tcW w:w="1090" w:type="dxa"/>
            <w:noWrap w:val="0"/>
            <w:vAlign w:val="top"/>
          </w:tcPr>
          <w:p>
            <w:pPr>
              <w:pStyle w:val="11"/>
              <w:spacing w:before="105"/>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6"/>
              <w:ind w:left="93" w:right="70"/>
              <w:jc w:val="center"/>
              <w:rPr>
                <w:sz w:val="20"/>
              </w:rPr>
            </w:pPr>
            <w:r>
              <w:rPr>
                <w:sz w:val="20"/>
              </w:rPr>
              <w:t>34</w:t>
            </w:r>
          </w:p>
        </w:tc>
        <w:tc>
          <w:tcPr>
            <w:tcW w:w="5314" w:type="dxa"/>
            <w:noWrap w:val="0"/>
            <w:vAlign w:val="top"/>
          </w:tcPr>
          <w:p>
            <w:pPr>
              <w:pStyle w:val="11"/>
              <w:spacing w:before="106"/>
              <w:ind w:left="514"/>
              <w:rPr>
                <w:sz w:val="20"/>
              </w:rPr>
            </w:pPr>
            <w:r>
              <w:rPr>
                <w:sz w:val="20"/>
              </w:rPr>
              <w:t>（三）资产损失（填写 A105090）</w:t>
            </w:r>
          </w:p>
        </w:tc>
        <w:tc>
          <w:tcPr>
            <w:tcW w:w="1090" w:type="dxa"/>
            <w:noWrap w:val="0"/>
            <w:vAlign w:val="top"/>
          </w:tcPr>
          <w:p>
            <w:pPr>
              <w:pStyle w:val="11"/>
              <w:spacing w:before="106"/>
              <w:ind w:left="501"/>
              <w:rPr>
                <w:sz w:val="20"/>
              </w:rPr>
            </w:pPr>
            <w:r>
              <w:rPr>
                <w:w w:val="99"/>
                <w:sz w:val="20"/>
              </w:rPr>
              <w:t>*</w:t>
            </w:r>
          </w:p>
        </w:tc>
        <w:tc>
          <w:tcPr>
            <w:tcW w:w="1090" w:type="dxa"/>
            <w:noWrap w:val="0"/>
            <w:vAlign w:val="top"/>
          </w:tcPr>
          <w:p>
            <w:pPr>
              <w:pStyle w:val="11"/>
              <w:spacing w:before="106"/>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76" w:hRule="atLeast"/>
        </w:trPr>
        <w:tc>
          <w:tcPr>
            <w:tcW w:w="630" w:type="dxa"/>
            <w:tcBorders>
              <w:left w:val="single" w:color="000000" w:sz="12" w:space="0"/>
            </w:tcBorders>
            <w:noWrap w:val="0"/>
            <w:vAlign w:val="top"/>
          </w:tcPr>
          <w:p>
            <w:pPr>
              <w:pStyle w:val="11"/>
              <w:spacing w:before="107"/>
              <w:ind w:left="93" w:right="70"/>
              <w:jc w:val="center"/>
              <w:rPr>
                <w:sz w:val="20"/>
              </w:rPr>
            </w:pPr>
            <w:r>
              <w:rPr>
                <w:sz w:val="20"/>
              </w:rPr>
              <w:t>35</w:t>
            </w:r>
          </w:p>
        </w:tc>
        <w:tc>
          <w:tcPr>
            <w:tcW w:w="5314" w:type="dxa"/>
            <w:noWrap w:val="0"/>
            <w:vAlign w:val="top"/>
          </w:tcPr>
          <w:p>
            <w:pPr>
              <w:pStyle w:val="11"/>
              <w:spacing w:before="107"/>
              <w:ind w:left="514"/>
              <w:rPr>
                <w:sz w:val="20"/>
              </w:rPr>
            </w:pPr>
            <w:r>
              <w:rPr>
                <w:sz w:val="20"/>
              </w:rPr>
              <w:t>（四）其他</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6"/>
              <w:ind w:left="93" w:right="70"/>
              <w:jc w:val="center"/>
              <w:rPr>
                <w:sz w:val="20"/>
              </w:rPr>
            </w:pPr>
            <w:r>
              <w:rPr>
                <w:sz w:val="20"/>
              </w:rPr>
              <w:t>36</w:t>
            </w:r>
          </w:p>
        </w:tc>
        <w:tc>
          <w:tcPr>
            <w:tcW w:w="5314" w:type="dxa"/>
            <w:noWrap w:val="0"/>
            <w:vAlign w:val="top"/>
          </w:tcPr>
          <w:p>
            <w:pPr>
              <w:pStyle w:val="11"/>
              <w:spacing w:before="106"/>
              <w:ind w:left="115"/>
              <w:rPr>
                <w:sz w:val="20"/>
              </w:rPr>
            </w:pPr>
            <w:r>
              <w:rPr>
                <w:sz w:val="20"/>
              </w:rPr>
              <w:t>四、特殊事项调整项目（37+38+…+43）</w:t>
            </w:r>
          </w:p>
        </w:tc>
        <w:tc>
          <w:tcPr>
            <w:tcW w:w="1090" w:type="dxa"/>
            <w:noWrap w:val="0"/>
            <w:vAlign w:val="top"/>
          </w:tcPr>
          <w:p>
            <w:pPr>
              <w:pStyle w:val="11"/>
              <w:spacing w:before="106"/>
              <w:ind w:left="501"/>
              <w:rPr>
                <w:sz w:val="20"/>
              </w:rPr>
            </w:pPr>
            <w:r>
              <w:rPr>
                <w:w w:val="99"/>
                <w:sz w:val="20"/>
              </w:rPr>
              <w:t>*</w:t>
            </w:r>
          </w:p>
        </w:tc>
        <w:tc>
          <w:tcPr>
            <w:tcW w:w="1090" w:type="dxa"/>
            <w:noWrap w:val="0"/>
            <w:vAlign w:val="top"/>
          </w:tcPr>
          <w:p>
            <w:pPr>
              <w:pStyle w:val="11"/>
              <w:spacing w:before="106"/>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7"/>
              <w:ind w:left="93" w:right="70"/>
              <w:jc w:val="center"/>
              <w:rPr>
                <w:sz w:val="20"/>
              </w:rPr>
            </w:pPr>
            <w:r>
              <w:rPr>
                <w:sz w:val="20"/>
              </w:rPr>
              <w:t>37</w:t>
            </w:r>
          </w:p>
        </w:tc>
        <w:tc>
          <w:tcPr>
            <w:tcW w:w="5314" w:type="dxa"/>
            <w:noWrap w:val="0"/>
            <w:vAlign w:val="top"/>
          </w:tcPr>
          <w:p>
            <w:pPr>
              <w:pStyle w:val="11"/>
              <w:spacing w:before="107"/>
              <w:ind w:left="514"/>
              <w:rPr>
                <w:sz w:val="20"/>
              </w:rPr>
            </w:pPr>
            <w:r>
              <w:rPr>
                <w:sz w:val="20"/>
              </w:rPr>
              <w:t>（一）企业重组及递延纳税事项（填写 A105100）</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5"/>
              <w:ind w:left="93" w:right="70"/>
              <w:jc w:val="center"/>
              <w:rPr>
                <w:sz w:val="20"/>
              </w:rPr>
            </w:pPr>
            <w:r>
              <w:rPr>
                <w:sz w:val="20"/>
              </w:rPr>
              <w:t>38</w:t>
            </w:r>
          </w:p>
        </w:tc>
        <w:tc>
          <w:tcPr>
            <w:tcW w:w="5314" w:type="dxa"/>
            <w:noWrap w:val="0"/>
            <w:vAlign w:val="top"/>
          </w:tcPr>
          <w:p>
            <w:pPr>
              <w:pStyle w:val="11"/>
              <w:spacing w:before="105"/>
              <w:ind w:left="514"/>
              <w:rPr>
                <w:sz w:val="20"/>
              </w:rPr>
            </w:pPr>
            <w:r>
              <w:rPr>
                <w:sz w:val="20"/>
              </w:rPr>
              <w:t>（二）政策性搬迁（填写 A105110）</w:t>
            </w:r>
          </w:p>
        </w:tc>
        <w:tc>
          <w:tcPr>
            <w:tcW w:w="1090" w:type="dxa"/>
            <w:noWrap w:val="0"/>
            <w:vAlign w:val="top"/>
          </w:tcPr>
          <w:p>
            <w:pPr>
              <w:pStyle w:val="11"/>
              <w:spacing w:before="105"/>
              <w:ind w:left="501"/>
              <w:rPr>
                <w:sz w:val="20"/>
              </w:rPr>
            </w:pPr>
            <w:r>
              <w:rPr>
                <w:w w:val="99"/>
                <w:sz w:val="20"/>
              </w:rPr>
              <w:t>*</w:t>
            </w:r>
          </w:p>
        </w:tc>
        <w:tc>
          <w:tcPr>
            <w:tcW w:w="1090" w:type="dxa"/>
            <w:noWrap w:val="0"/>
            <w:vAlign w:val="top"/>
          </w:tcPr>
          <w:p>
            <w:pPr>
              <w:pStyle w:val="11"/>
              <w:spacing w:before="105"/>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8" w:hRule="atLeast"/>
        </w:trPr>
        <w:tc>
          <w:tcPr>
            <w:tcW w:w="630" w:type="dxa"/>
            <w:tcBorders>
              <w:left w:val="single" w:color="000000" w:sz="12" w:space="0"/>
            </w:tcBorders>
            <w:noWrap w:val="0"/>
            <w:vAlign w:val="top"/>
          </w:tcPr>
          <w:p>
            <w:pPr>
              <w:pStyle w:val="11"/>
              <w:spacing w:before="128"/>
              <w:ind w:left="93" w:right="70"/>
              <w:jc w:val="center"/>
              <w:rPr>
                <w:sz w:val="20"/>
              </w:rPr>
            </w:pPr>
            <w:r>
              <w:rPr>
                <w:sz w:val="20"/>
              </w:rPr>
              <w:t>39</w:t>
            </w:r>
          </w:p>
        </w:tc>
        <w:tc>
          <w:tcPr>
            <w:tcW w:w="5314" w:type="dxa"/>
            <w:noWrap w:val="0"/>
            <w:vAlign w:val="top"/>
          </w:tcPr>
          <w:p>
            <w:pPr>
              <w:pStyle w:val="11"/>
              <w:spacing w:line="255" w:lineRule="exact"/>
              <w:ind w:left="514"/>
              <w:rPr>
                <w:sz w:val="20"/>
              </w:rPr>
            </w:pPr>
            <w:r>
              <w:rPr>
                <w:sz w:val="20"/>
              </w:rPr>
              <w:t>（三）特殊行业准备金</w:t>
            </w:r>
          </w:p>
          <w:p>
            <w:pPr>
              <w:pStyle w:val="11"/>
              <w:spacing w:before="3" w:line="241" w:lineRule="exact"/>
              <w:ind w:left="115"/>
              <w:rPr>
                <w:sz w:val="20"/>
              </w:rPr>
            </w:pPr>
            <w:r>
              <w:rPr>
                <w:sz w:val="20"/>
              </w:rPr>
              <w:t>（39</w:t>
            </w:r>
            <w:r>
              <w:rPr>
                <w:rFonts w:hint="eastAsia"/>
                <w:sz w:val="20"/>
                <w:lang w:eastAsia="zh-CN"/>
              </w:rPr>
              <w:t>、</w:t>
            </w:r>
            <w:r>
              <w:rPr>
                <w:sz w:val="20"/>
              </w:rPr>
              <w:t>1+39</w:t>
            </w:r>
            <w:r>
              <w:rPr>
                <w:rFonts w:hint="eastAsia"/>
                <w:sz w:val="20"/>
                <w:lang w:eastAsia="zh-CN"/>
              </w:rPr>
              <w:t>、</w:t>
            </w:r>
            <w:r>
              <w:rPr>
                <w:sz w:val="20"/>
              </w:rPr>
              <w:t>2+39</w:t>
            </w:r>
            <w:r>
              <w:rPr>
                <w:rFonts w:hint="eastAsia"/>
                <w:sz w:val="20"/>
                <w:lang w:eastAsia="zh-CN"/>
              </w:rPr>
              <w:t>、</w:t>
            </w:r>
            <w:r>
              <w:rPr>
                <w:sz w:val="20"/>
              </w:rPr>
              <w:t>4+39</w:t>
            </w:r>
            <w:r>
              <w:rPr>
                <w:rFonts w:hint="eastAsia"/>
                <w:sz w:val="20"/>
                <w:lang w:eastAsia="zh-CN"/>
              </w:rPr>
              <w:t>、</w:t>
            </w:r>
            <w:r>
              <w:rPr>
                <w:sz w:val="20"/>
              </w:rPr>
              <w:t>5+39</w:t>
            </w:r>
            <w:r>
              <w:rPr>
                <w:rFonts w:hint="eastAsia"/>
                <w:sz w:val="20"/>
                <w:lang w:eastAsia="zh-CN"/>
              </w:rPr>
              <w:t>、</w:t>
            </w:r>
            <w:r>
              <w:rPr>
                <w:sz w:val="20"/>
              </w:rPr>
              <w:t>6+39</w:t>
            </w:r>
            <w:r>
              <w:rPr>
                <w:rFonts w:hint="eastAsia"/>
                <w:sz w:val="20"/>
                <w:lang w:eastAsia="zh-CN"/>
              </w:rPr>
              <w:t>、</w:t>
            </w:r>
            <w:r>
              <w:rPr>
                <w:sz w:val="20"/>
              </w:rPr>
              <w:t>7）</w:t>
            </w:r>
          </w:p>
        </w:tc>
        <w:tc>
          <w:tcPr>
            <w:tcW w:w="1090" w:type="dxa"/>
            <w:noWrap w:val="0"/>
            <w:vAlign w:val="top"/>
          </w:tcPr>
          <w:p>
            <w:pPr>
              <w:pStyle w:val="11"/>
              <w:spacing w:before="128"/>
              <w:ind w:left="501"/>
              <w:rPr>
                <w:sz w:val="20"/>
              </w:rPr>
            </w:pPr>
            <w:r>
              <w:rPr>
                <w:w w:val="99"/>
                <w:sz w:val="20"/>
              </w:rPr>
              <w:t>*</w:t>
            </w:r>
          </w:p>
        </w:tc>
        <w:tc>
          <w:tcPr>
            <w:tcW w:w="1090" w:type="dxa"/>
            <w:noWrap w:val="0"/>
            <w:vAlign w:val="top"/>
          </w:tcPr>
          <w:p>
            <w:pPr>
              <w:pStyle w:val="11"/>
              <w:spacing w:before="128"/>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5"/>
              <w:ind w:left="93" w:right="73"/>
              <w:jc w:val="center"/>
              <w:rPr>
                <w:sz w:val="20"/>
              </w:rPr>
            </w:pPr>
            <w:r>
              <w:rPr>
                <w:sz w:val="20"/>
              </w:rPr>
              <w:t>39</w:t>
            </w:r>
            <w:r>
              <w:rPr>
                <w:rFonts w:hint="eastAsia"/>
                <w:sz w:val="20"/>
                <w:lang w:eastAsia="zh-CN"/>
              </w:rPr>
              <w:t>、</w:t>
            </w:r>
            <w:r>
              <w:rPr>
                <w:sz w:val="20"/>
              </w:rPr>
              <w:t>1</w:t>
            </w:r>
          </w:p>
        </w:tc>
        <w:tc>
          <w:tcPr>
            <w:tcW w:w="5314" w:type="dxa"/>
            <w:noWrap w:val="0"/>
            <w:vAlign w:val="top"/>
          </w:tcPr>
          <w:p>
            <w:pPr>
              <w:pStyle w:val="11"/>
              <w:spacing w:before="105"/>
              <w:ind w:left="915"/>
              <w:rPr>
                <w:sz w:val="20"/>
              </w:rPr>
            </w:pPr>
            <w:r>
              <w:rPr>
                <w:sz w:val="20"/>
              </w:rPr>
              <w:t>1</w:t>
            </w:r>
            <w:r>
              <w:rPr>
                <w:rFonts w:hint="eastAsia"/>
                <w:sz w:val="20"/>
                <w:lang w:eastAsia="zh-CN"/>
              </w:rPr>
              <w:t>、</w:t>
            </w:r>
            <w:r>
              <w:rPr>
                <w:sz w:val="20"/>
              </w:rPr>
              <w:t>保险公司保险保障基金</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6"/>
              <w:ind w:left="93" w:right="73"/>
              <w:jc w:val="center"/>
              <w:rPr>
                <w:sz w:val="20"/>
              </w:rPr>
            </w:pPr>
            <w:r>
              <w:rPr>
                <w:sz w:val="20"/>
              </w:rPr>
              <w:t>39</w:t>
            </w:r>
            <w:r>
              <w:rPr>
                <w:rFonts w:hint="eastAsia"/>
                <w:sz w:val="20"/>
                <w:lang w:eastAsia="zh-CN"/>
              </w:rPr>
              <w:t>、</w:t>
            </w:r>
            <w:r>
              <w:rPr>
                <w:sz w:val="20"/>
              </w:rPr>
              <w:t>2</w:t>
            </w:r>
          </w:p>
        </w:tc>
        <w:tc>
          <w:tcPr>
            <w:tcW w:w="5314" w:type="dxa"/>
            <w:noWrap w:val="0"/>
            <w:vAlign w:val="top"/>
          </w:tcPr>
          <w:p>
            <w:pPr>
              <w:pStyle w:val="11"/>
              <w:spacing w:before="106"/>
              <w:ind w:left="915"/>
              <w:rPr>
                <w:sz w:val="20"/>
              </w:rPr>
            </w:pPr>
            <w:r>
              <w:rPr>
                <w:sz w:val="20"/>
              </w:rPr>
              <w:t>2</w:t>
            </w:r>
            <w:r>
              <w:rPr>
                <w:rFonts w:hint="eastAsia"/>
                <w:sz w:val="20"/>
                <w:lang w:eastAsia="zh-CN"/>
              </w:rPr>
              <w:t>、</w:t>
            </w:r>
            <w:r>
              <w:rPr>
                <w:sz w:val="20"/>
              </w:rPr>
              <w:t>保险公司准备金</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5"/>
              <w:ind w:left="93" w:right="73"/>
              <w:jc w:val="center"/>
              <w:rPr>
                <w:sz w:val="20"/>
              </w:rPr>
            </w:pPr>
            <w:r>
              <w:rPr>
                <w:sz w:val="20"/>
              </w:rPr>
              <w:t>39</w:t>
            </w:r>
            <w:r>
              <w:rPr>
                <w:rFonts w:hint="eastAsia"/>
                <w:sz w:val="20"/>
                <w:lang w:eastAsia="zh-CN"/>
              </w:rPr>
              <w:t>、</w:t>
            </w:r>
            <w:r>
              <w:rPr>
                <w:sz w:val="20"/>
              </w:rPr>
              <w:t>3</w:t>
            </w:r>
          </w:p>
        </w:tc>
        <w:tc>
          <w:tcPr>
            <w:tcW w:w="5314" w:type="dxa"/>
            <w:noWrap w:val="0"/>
            <w:vAlign w:val="top"/>
          </w:tcPr>
          <w:p>
            <w:pPr>
              <w:pStyle w:val="11"/>
              <w:spacing w:before="105"/>
              <w:ind w:left="915"/>
              <w:rPr>
                <w:sz w:val="20"/>
              </w:rPr>
            </w:pPr>
            <w:r>
              <w:rPr>
                <w:sz w:val="20"/>
              </w:rPr>
              <w:t>其中：已发生未报案未决赔款准备金</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6"/>
              <w:ind w:left="93" w:right="73"/>
              <w:jc w:val="center"/>
              <w:rPr>
                <w:sz w:val="20"/>
              </w:rPr>
            </w:pPr>
            <w:r>
              <w:rPr>
                <w:sz w:val="20"/>
              </w:rPr>
              <w:t>39</w:t>
            </w:r>
            <w:r>
              <w:rPr>
                <w:rFonts w:hint="eastAsia"/>
                <w:sz w:val="20"/>
                <w:lang w:eastAsia="zh-CN"/>
              </w:rPr>
              <w:t>、</w:t>
            </w:r>
            <w:r>
              <w:rPr>
                <w:sz w:val="20"/>
              </w:rPr>
              <w:t>4</w:t>
            </w:r>
          </w:p>
        </w:tc>
        <w:tc>
          <w:tcPr>
            <w:tcW w:w="5314" w:type="dxa"/>
            <w:noWrap w:val="0"/>
            <w:vAlign w:val="top"/>
          </w:tcPr>
          <w:p>
            <w:pPr>
              <w:pStyle w:val="11"/>
              <w:spacing w:before="106"/>
              <w:ind w:left="915"/>
              <w:rPr>
                <w:sz w:val="20"/>
              </w:rPr>
            </w:pPr>
            <w:r>
              <w:rPr>
                <w:sz w:val="20"/>
              </w:rPr>
              <w:t>3</w:t>
            </w:r>
            <w:r>
              <w:rPr>
                <w:rFonts w:hint="eastAsia"/>
                <w:sz w:val="20"/>
                <w:lang w:eastAsia="zh-CN"/>
              </w:rPr>
              <w:t>、</w:t>
            </w:r>
            <w:r>
              <w:rPr>
                <w:sz w:val="20"/>
              </w:rPr>
              <w:t>证券行业准备金</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4"/>
              <w:ind w:left="93" w:right="73"/>
              <w:jc w:val="center"/>
              <w:rPr>
                <w:sz w:val="20"/>
              </w:rPr>
            </w:pPr>
            <w:r>
              <w:rPr>
                <w:sz w:val="20"/>
              </w:rPr>
              <w:t>39</w:t>
            </w:r>
            <w:r>
              <w:rPr>
                <w:rFonts w:hint="eastAsia"/>
                <w:sz w:val="20"/>
                <w:lang w:eastAsia="zh-CN"/>
              </w:rPr>
              <w:t>、</w:t>
            </w:r>
            <w:r>
              <w:rPr>
                <w:sz w:val="20"/>
              </w:rPr>
              <w:t>5</w:t>
            </w:r>
          </w:p>
        </w:tc>
        <w:tc>
          <w:tcPr>
            <w:tcW w:w="5314" w:type="dxa"/>
            <w:noWrap w:val="0"/>
            <w:vAlign w:val="top"/>
          </w:tcPr>
          <w:p>
            <w:pPr>
              <w:pStyle w:val="11"/>
              <w:spacing w:before="104"/>
              <w:ind w:left="915"/>
              <w:rPr>
                <w:sz w:val="20"/>
              </w:rPr>
            </w:pPr>
            <w:r>
              <w:rPr>
                <w:sz w:val="20"/>
              </w:rPr>
              <w:t>4</w:t>
            </w:r>
            <w:r>
              <w:rPr>
                <w:rFonts w:hint="eastAsia"/>
                <w:sz w:val="20"/>
                <w:lang w:eastAsia="zh-CN"/>
              </w:rPr>
              <w:t>、</w:t>
            </w:r>
            <w:r>
              <w:rPr>
                <w:sz w:val="20"/>
              </w:rPr>
              <w:t>期货行业准备金</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5"/>
              <w:ind w:left="93" w:right="73"/>
              <w:jc w:val="center"/>
              <w:rPr>
                <w:sz w:val="20"/>
              </w:rPr>
            </w:pPr>
            <w:r>
              <w:rPr>
                <w:sz w:val="20"/>
              </w:rPr>
              <w:t>39</w:t>
            </w:r>
            <w:r>
              <w:rPr>
                <w:rFonts w:hint="eastAsia"/>
                <w:sz w:val="20"/>
                <w:lang w:eastAsia="zh-CN"/>
              </w:rPr>
              <w:t>、</w:t>
            </w:r>
            <w:r>
              <w:rPr>
                <w:sz w:val="20"/>
              </w:rPr>
              <w:t>6</w:t>
            </w:r>
          </w:p>
        </w:tc>
        <w:tc>
          <w:tcPr>
            <w:tcW w:w="5314" w:type="dxa"/>
            <w:noWrap w:val="0"/>
            <w:vAlign w:val="top"/>
          </w:tcPr>
          <w:p>
            <w:pPr>
              <w:pStyle w:val="11"/>
              <w:spacing w:before="105"/>
              <w:ind w:left="915"/>
              <w:rPr>
                <w:sz w:val="20"/>
              </w:rPr>
            </w:pPr>
            <w:r>
              <w:rPr>
                <w:sz w:val="20"/>
              </w:rPr>
              <w:t>5</w:t>
            </w:r>
            <w:r>
              <w:rPr>
                <w:rFonts w:hint="eastAsia"/>
                <w:sz w:val="20"/>
                <w:lang w:eastAsia="zh-CN"/>
              </w:rPr>
              <w:t>、</w:t>
            </w:r>
            <w:r>
              <w:rPr>
                <w:sz w:val="20"/>
              </w:rPr>
              <w:t>中小企业融资（信用）担保机构准备金</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4"/>
              <w:ind w:left="93" w:right="73"/>
              <w:jc w:val="center"/>
              <w:rPr>
                <w:sz w:val="20"/>
              </w:rPr>
            </w:pPr>
            <w:r>
              <w:rPr>
                <w:sz w:val="20"/>
              </w:rPr>
              <w:t>39</w:t>
            </w:r>
            <w:r>
              <w:rPr>
                <w:rFonts w:hint="eastAsia"/>
                <w:sz w:val="20"/>
                <w:lang w:eastAsia="zh-CN"/>
              </w:rPr>
              <w:t>、</w:t>
            </w:r>
            <w:r>
              <w:rPr>
                <w:sz w:val="20"/>
              </w:rPr>
              <w:t>7</w:t>
            </w:r>
          </w:p>
        </w:tc>
        <w:tc>
          <w:tcPr>
            <w:tcW w:w="5314" w:type="dxa"/>
            <w:noWrap w:val="0"/>
            <w:vAlign w:val="top"/>
          </w:tcPr>
          <w:p>
            <w:pPr>
              <w:pStyle w:val="11"/>
              <w:spacing w:before="104"/>
              <w:ind w:left="915" w:right="-15"/>
              <w:rPr>
                <w:sz w:val="20"/>
              </w:rPr>
            </w:pPr>
            <w:r>
              <w:rPr>
                <w:sz w:val="20"/>
              </w:rPr>
              <w:t>6</w:t>
            </w:r>
            <w:r>
              <w:rPr>
                <w:rFonts w:hint="eastAsia"/>
                <w:spacing w:val="-14"/>
                <w:sz w:val="20"/>
                <w:lang w:eastAsia="zh-CN"/>
              </w:rPr>
              <w:t>、</w:t>
            </w:r>
            <w:r>
              <w:rPr>
                <w:spacing w:val="-14"/>
                <w:sz w:val="20"/>
              </w:rPr>
              <w:t>金融企业、小额贷款公司准备金</w:t>
            </w:r>
            <w:r>
              <w:rPr>
                <w:sz w:val="20"/>
              </w:rPr>
              <w:t>（</w:t>
            </w:r>
            <w:r>
              <w:rPr>
                <w:spacing w:val="-20"/>
                <w:sz w:val="20"/>
              </w:rPr>
              <w:t xml:space="preserve">填写 </w:t>
            </w:r>
            <w:r>
              <w:rPr>
                <w:sz w:val="20"/>
              </w:rPr>
              <w:t>A105120）</w:t>
            </w:r>
          </w:p>
        </w:tc>
        <w:tc>
          <w:tcPr>
            <w:tcW w:w="1090" w:type="dxa"/>
            <w:noWrap w:val="0"/>
            <w:vAlign w:val="top"/>
          </w:tcPr>
          <w:p>
            <w:pPr>
              <w:pStyle w:val="11"/>
              <w:spacing w:before="104"/>
              <w:ind w:left="501"/>
              <w:rPr>
                <w:sz w:val="20"/>
              </w:rPr>
            </w:pPr>
            <w:r>
              <w:rPr>
                <w:w w:val="99"/>
                <w:sz w:val="20"/>
              </w:rPr>
              <w:t>*</w:t>
            </w:r>
          </w:p>
        </w:tc>
        <w:tc>
          <w:tcPr>
            <w:tcW w:w="1090" w:type="dxa"/>
            <w:noWrap w:val="0"/>
            <w:vAlign w:val="top"/>
          </w:tcPr>
          <w:p>
            <w:pPr>
              <w:pStyle w:val="11"/>
              <w:spacing w:before="104"/>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630" w:type="dxa"/>
            <w:tcBorders>
              <w:left w:val="single" w:color="000000" w:sz="12" w:space="0"/>
            </w:tcBorders>
            <w:noWrap w:val="0"/>
            <w:vAlign w:val="top"/>
          </w:tcPr>
          <w:p>
            <w:pPr>
              <w:pStyle w:val="11"/>
              <w:spacing w:before="126"/>
              <w:ind w:left="93" w:right="70"/>
              <w:jc w:val="center"/>
              <w:rPr>
                <w:sz w:val="20"/>
              </w:rPr>
            </w:pPr>
            <w:r>
              <w:rPr>
                <w:sz w:val="20"/>
              </w:rPr>
              <w:t>40</w:t>
            </w:r>
          </w:p>
        </w:tc>
        <w:tc>
          <w:tcPr>
            <w:tcW w:w="5314" w:type="dxa"/>
            <w:noWrap w:val="0"/>
            <w:vAlign w:val="top"/>
          </w:tcPr>
          <w:p>
            <w:pPr>
              <w:pStyle w:val="11"/>
              <w:spacing w:line="253" w:lineRule="exact"/>
              <w:ind w:left="516"/>
              <w:rPr>
                <w:sz w:val="20"/>
              </w:rPr>
            </w:pPr>
            <w:r>
              <w:rPr>
                <w:sz w:val="20"/>
              </w:rPr>
              <w:t>（四）房地产开发企业特定业务计算的纳税调整额(填</w:t>
            </w:r>
          </w:p>
          <w:p>
            <w:pPr>
              <w:pStyle w:val="11"/>
              <w:spacing w:before="3" w:line="243" w:lineRule="exact"/>
              <w:ind w:left="1128"/>
              <w:rPr>
                <w:sz w:val="20"/>
              </w:rPr>
            </w:pPr>
            <w:r>
              <w:rPr>
                <w:sz w:val="20"/>
              </w:rPr>
              <w:t>写 A105010)</w:t>
            </w:r>
          </w:p>
        </w:tc>
        <w:tc>
          <w:tcPr>
            <w:tcW w:w="1090" w:type="dxa"/>
            <w:noWrap w:val="0"/>
            <w:vAlign w:val="top"/>
          </w:tcPr>
          <w:p>
            <w:pPr>
              <w:pStyle w:val="11"/>
              <w:spacing w:before="126"/>
              <w:ind w:left="501"/>
              <w:rPr>
                <w:sz w:val="20"/>
              </w:rPr>
            </w:pPr>
            <w:r>
              <w:rPr>
                <w:w w:val="99"/>
                <w:sz w:val="20"/>
              </w:rPr>
              <w:t>*</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6"/>
              <w:ind w:left="93" w:right="70"/>
              <w:jc w:val="center"/>
              <w:rPr>
                <w:sz w:val="20"/>
              </w:rPr>
            </w:pPr>
            <w:r>
              <w:rPr>
                <w:sz w:val="20"/>
              </w:rPr>
              <w:t>41</w:t>
            </w:r>
          </w:p>
        </w:tc>
        <w:tc>
          <w:tcPr>
            <w:tcW w:w="5314" w:type="dxa"/>
            <w:noWrap w:val="0"/>
            <w:vAlign w:val="top"/>
          </w:tcPr>
          <w:p>
            <w:pPr>
              <w:pStyle w:val="11"/>
              <w:spacing w:before="106"/>
              <w:ind w:left="516"/>
              <w:rPr>
                <w:sz w:val="20"/>
              </w:rPr>
            </w:pPr>
            <w:r>
              <w:rPr>
                <w:sz w:val="20"/>
              </w:rPr>
              <w:t>（五）合伙企业法人合伙人应分得的应纳税所得额</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76" w:hRule="atLeast"/>
        </w:trPr>
        <w:tc>
          <w:tcPr>
            <w:tcW w:w="630" w:type="dxa"/>
            <w:tcBorders>
              <w:left w:val="single" w:color="000000" w:sz="12" w:space="0"/>
            </w:tcBorders>
            <w:noWrap w:val="0"/>
            <w:vAlign w:val="top"/>
          </w:tcPr>
          <w:p>
            <w:pPr>
              <w:pStyle w:val="11"/>
              <w:spacing w:before="105"/>
              <w:ind w:left="93" w:right="70"/>
              <w:jc w:val="center"/>
              <w:rPr>
                <w:sz w:val="20"/>
              </w:rPr>
            </w:pPr>
            <w:r>
              <w:rPr>
                <w:sz w:val="20"/>
              </w:rPr>
              <w:t>42</w:t>
            </w:r>
          </w:p>
        </w:tc>
        <w:tc>
          <w:tcPr>
            <w:tcW w:w="5314" w:type="dxa"/>
            <w:noWrap w:val="0"/>
            <w:vAlign w:val="top"/>
          </w:tcPr>
          <w:p>
            <w:pPr>
              <w:pStyle w:val="11"/>
              <w:spacing w:before="105"/>
              <w:ind w:left="516"/>
              <w:rPr>
                <w:sz w:val="20"/>
              </w:rPr>
            </w:pPr>
            <w:r>
              <w:rPr>
                <w:sz w:val="20"/>
              </w:rPr>
              <w:t>（六）发行永续债利息支出</w:t>
            </w: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6"/>
              <w:ind w:left="93" w:right="70"/>
              <w:jc w:val="center"/>
              <w:rPr>
                <w:sz w:val="20"/>
              </w:rPr>
            </w:pPr>
            <w:r>
              <w:rPr>
                <w:sz w:val="20"/>
              </w:rPr>
              <w:t>43</w:t>
            </w:r>
          </w:p>
        </w:tc>
        <w:tc>
          <w:tcPr>
            <w:tcW w:w="5314" w:type="dxa"/>
            <w:noWrap w:val="0"/>
            <w:vAlign w:val="top"/>
          </w:tcPr>
          <w:p>
            <w:pPr>
              <w:pStyle w:val="11"/>
              <w:spacing w:before="106"/>
              <w:ind w:left="516"/>
              <w:rPr>
                <w:sz w:val="20"/>
              </w:rPr>
            </w:pPr>
            <w:r>
              <w:rPr>
                <w:sz w:val="20"/>
              </w:rPr>
              <w:t>（七）其他</w:t>
            </w:r>
          </w:p>
        </w:tc>
        <w:tc>
          <w:tcPr>
            <w:tcW w:w="1090" w:type="dxa"/>
            <w:noWrap w:val="0"/>
            <w:vAlign w:val="top"/>
          </w:tcPr>
          <w:p>
            <w:pPr>
              <w:pStyle w:val="11"/>
              <w:spacing w:before="106"/>
              <w:ind w:left="501"/>
              <w:rPr>
                <w:sz w:val="20"/>
              </w:rPr>
            </w:pPr>
            <w:r>
              <w:rPr>
                <w:w w:val="99"/>
                <w:sz w:val="20"/>
              </w:rPr>
              <w:t>*</w:t>
            </w:r>
          </w:p>
        </w:tc>
        <w:tc>
          <w:tcPr>
            <w:tcW w:w="1090" w:type="dxa"/>
            <w:noWrap w:val="0"/>
            <w:vAlign w:val="top"/>
          </w:tcPr>
          <w:p>
            <w:pPr>
              <w:pStyle w:val="11"/>
              <w:spacing w:before="106"/>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tcBorders>
            <w:noWrap w:val="0"/>
            <w:vAlign w:val="top"/>
          </w:tcPr>
          <w:p>
            <w:pPr>
              <w:pStyle w:val="11"/>
              <w:spacing w:before="104"/>
              <w:ind w:left="93" w:right="70"/>
              <w:jc w:val="center"/>
              <w:rPr>
                <w:sz w:val="20"/>
              </w:rPr>
            </w:pPr>
            <w:r>
              <w:rPr>
                <w:sz w:val="20"/>
              </w:rPr>
              <w:t>44</w:t>
            </w:r>
          </w:p>
        </w:tc>
        <w:tc>
          <w:tcPr>
            <w:tcW w:w="5314" w:type="dxa"/>
            <w:noWrap w:val="0"/>
            <w:vAlign w:val="top"/>
          </w:tcPr>
          <w:p>
            <w:pPr>
              <w:pStyle w:val="11"/>
              <w:spacing w:before="104"/>
              <w:ind w:left="115"/>
              <w:rPr>
                <w:sz w:val="20"/>
              </w:rPr>
            </w:pPr>
            <w:r>
              <w:rPr>
                <w:sz w:val="20"/>
              </w:rPr>
              <w:t>五、特别纳税调整应税所得</w:t>
            </w:r>
          </w:p>
        </w:tc>
        <w:tc>
          <w:tcPr>
            <w:tcW w:w="1090" w:type="dxa"/>
            <w:noWrap w:val="0"/>
            <w:vAlign w:val="top"/>
          </w:tcPr>
          <w:p>
            <w:pPr>
              <w:pStyle w:val="11"/>
              <w:spacing w:before="104"/>
              <w:ind w:left="501"/>
              <w:rPr>
                <w:sz w:val="20"/>
              </w:rPr>
            </w:pPr>
            <w:r>
              <w:rPr>
                <w:w w:val="99"/>
                <w:sz w:val="20"/>
              </w:rPr>
              <w:t>*</w:t>
            </w:r>
          </w:p>
        </w:tc>
        <w:tc>
          <w:tcPr>
            <w:tcW w:w="1090" w:type="dxa"/>
            <w:noWrap w:val="0"/>
            <w:vAlign w:val="top"/>
          </w:tcPr>
          <w:p>
            <w:pPr>
              <w:pStyle w:val="11"/>
              <w:spacing w:before="104"/>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trPr>
        <w:tc>
          <w:tcPr>
            <w:tcW w:w="630" w:type="dxa"/>
            <w:tcBorders>
              <w:left w:val="single" w:color="000000" w:sz="12" w:space="0"/>
            </w:tcBorders>
            <w:noWrap w:val="0"/>
            <w:vAlign w:val="top"/>
          </w:tcPr>
          <w:p>
            <w:pPr>
              <w:pStyle w:val="11"/>
              <w:spacing w:before="105"/>
              <w:ind w:left="93" w:right="70"/>
              <w:jc w:val="center"/>
              <w:rPr>
                <w:sz w:val="20"/>
              </w:rPr>
            </w:pPr>
            <w:r>
              <w:rPr>
                <w:sz w:val="20"/>
              </w:rPr>
              <w:t>45</w:t>
            </w:r>
          </w:p>
        </w:tc>
        <w:tc>
          <w:tcPr>
            <w:tcW w:w="5314" w:type="dxa"/>
            <w:noWrap w:val="0"/>
            <w:vAlign w:val="top"/>
          </w:tcPr>
          <w:p>
            <w:pPr>
              <w:pStyle w:val="11"/>
              <w:spacing w:before="105"/>
              <w:ind w:left="115"/>
              <w:rPr>
                <w:sz w:val="20"/>
              </w:rPr>
            </w:pPr>
            <w:r>
              <w:rPr>
                <w:sz w:val="20"/>
              </w:rPr>
              <w:t>六、其他</w:t>
            </w:r>
          </w:p>
        </w:tc>
        <w:tc>
          <w:tcPr>
            <w:tcW w:w="1090" w:type="dxa"/>
            <w:noWrap w:val="0"/>
            <w:vAlign w:val="top"/>
          </w:tcPr>
          <w:p>
            <w:pPr>
              <w:pStyle w:val="11"/>
              <w:spacing w:before="105"/>
              <w:ind w:left="501"/>
              <w:rPr>
                <w:sz w:val="20"/>
              </w:rPr>
            </w:pPr>
            <w:r>
              <w:rPr>
                <w:w w:val="99"/>
                <w:sz w:val="20"/>
              </w:rPr>
              <w:t>*</w:t>
            </w:r>
          </w:p>
        </w:tc>
        <w:tc>
          <w:tcPr>
            <w:tcW w:w="1090" w:type="dxa"/>
            <w:noWrap w:val="0"/>
            <w:vAlign w:val="top"/>
          </w:tcPr>
          <w:p>
            <w:pPr>
              <w:pStyle w:val="11"/>
              <w:spacing w:before="105"/>
              <w:ind w:left="27"/>
              <w:jc w:val="center"/>
              <w:rPr>
                <w:sz w:val="20"/>
              </w:rPr>
            </w:pPr>
            <w:r>
              <w:rPr>
                <w:w w:val="99"/>
                <w:sz w:val="20"/>
              </w:rPr>
              <w:t>*</w:t>
            </w:r>
          </w:p>
        </w:tc>
        <w:tc>
          <w:tcPr>
            <w:tcW w:w="1090" w:type="dxa"/>
            <w:noWrap w:val="0"/>
            <w:vAlign w:val="top"/>
          </w:tcPr>
          <w:p>
            <w:pPr>
              <w:pStyle w:val="11"/>
              <w:rPr>
                <w:rFonts w:ascii="Times New Roman"/>
                <w:sz w:val="18"/>
              </w:rPr>
            </w:pPr>
          </w:p>
        </w:tc>
        <w:tc>
          <w:tcPr>
            <w:tcW w:w="1090"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630" w:type="dxa"/>
            <w:tcBorders>
              <w:left w:val="single" w:color="000000" w:sz="12" w:space="0"/>
              <w:bottom w:val="single" w:color="000000" w:sz="12" w:space="0"/>
            </w:tcBorders>
            <w:noWrap w:val="0"/>
            <w:vAlign w:val="top"/>
          </w:tcPr>
          <w:p>
            <w:pPr>
              <w:pStyle w:val="11"/>
              <w:spacing w:before="104"/>
              <w:ind w:left="93" w:right="70"/>
              <w:jc w:val="center"/>
              <w:rPr>
                <w:sz w:val="20"/>
              </w:rPr>
            </w:pPr>
            <w:r>
              <w:rPr>
                <w:sz w:val="20"/>
              </w:rPr>
              <w:t>46</w:t>
            </w:r>
          </w:p>
        </w:tc>
        <w:tc>
          <w:tcPr>
            <w:tcW w:w="5314" w:type="dxa"/>
            <w:tcBorders>
              <w:bottom w:val="single" w:color="000000" w:sz="12" w:space="0"/>
            </w:tcBorders>
            <w:noWrap w:val="0"/>
            <w:vAlign w:val="top"/>
          </w:tcPr>
          <w:p>
            <w:pPr>
              <w:pStyle w:val="11"/>
              <w:spacing w:before="104"/>
              <w:ind w:left="115"/>
              <w:rPr>
                <w:sz w:val="20"/>
              </w:rPr>
            </w:pPr>
            <w:r>
              <w:rPr>
                <w:sz w:val="20"/>
              </w:rPr>
              <w:t>合计（1+12+31+36+44+45）</w:t>
            </w:r>
          </w:p>
        </w:tc>
        <w:tc>
          <w:tcPr>
            <w:tcW w:w="1090" w:type="dxa"/>
            <w:tcBorders>
              <w:bottom w:val="single" w:color="000000" w:sz="12" w:space="0"/>
            </w:tcBorders>
            <w:noWrap w:val="0"/>
            <w:vAlign w:val="top"/>
          </w:tcPr>
          <w:p>
            <w:pPr>
              <w:pStyle w:val="11"/>
              <w:spacing w:before="104"/>
              <w:ind w:left="501"/>
              <w:rPr>
                <w:sz w:val="20"/>
              </w:rPr>
            </w:pPr>
            <w:r>
              <w:rPr>
                <w:w w:val="99"/>
                <w:sz w:val="20"/>
              </w:rPr>
              <w:t>*</w:t>
            </w:r>
          </w:p>
        </w:tc>
        <w:tc>
          <w:tcPr>
            <w:tcW w:w="1090" w:type="dxa"/>
            <w:tcBorders>
              <w:bottom w:val="single" w:color="000000" w:sz="12" w:space="0"/>
            </w:tcBorders>
            <w:noWrap w:val="0"/>
            <w:vAlign w:val="top"/>
          </w:tcPr>
          <w:p>
            <w:pPr>
              <w:pStyle w:val="11"/>
              <w:spacing w:before="104"/>
              <w:ind w:left="27"/>
              <w:jc w:val="center"/>
              <w:rPr>
                <w:sz w:val="20"/>
              </w:rPr>
            </w:pPr>
            <w:r>
              <w:rPr>
                <w:w w:val="99"/>
                <w:sz w:val="20"/>
              </w:rPr>
              <w:t>*</w:t>
            </w:r>
          </w:p>
        </w:tc>
        <w:tc>
          <w:tcPr>
            <w:tcW w:w="1090" w:type="dxa"/>
            <w:tcBorders>
              <w:bottom w:val="single" w:color="000000" w:sz="12" w:space="0"/>
            </w:tcBorders>
            <w:noWrap w:val="0"/>
            <w:vAlign w:val="top"/>
          </w:tcPr>
          <w:p>
            <w:pPr>
              <w:pStyle w:val="11"/>
              <w:rPr>
                <w:rFonts w:ascii="Times New Roman"/>
                <w:sz w:val="18"/>
              </w:rPr>
            </w:pPr>
          </w:p>
        </w:tc>
        <w:tc>
          <w:tcPr>
            <w:tcW w:w="1090" w:type="dxa"/>
            <w:tcBorders>
              <w:bottom w:val="single" w:color="000000" w:sz="12" w:space="0"/>
              <w:right w:val="single" w:color="000000" w:sz="12" w:space="0"/>
            </w:tcBorders>
            <w:noWrap w:val="0"/>
            <w:vAlign w:val="top"/>
          </w:tcPr>
          <w:p>
            <w:pPr>
              <w:pStyle w:val="11"/>
              <w:rPr>
                <w:rFonts w:ascii="Times New Roman"/>
                <w:sz w:val="18"/>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pStyle w:val="4"/>
        <w:bidi w:val="0"/>
        <w:rPr>
          <w:rFonts w:hint="eastAsia"/>
          <w:lang w:eastAsia="zh-CN"/>
        </w:rPr>
      </w:pPr>
      <w:bookmarkStart w:id="5" w:name="_GoBack"/>
      <w:bookmarkEnd w:id="5"/>
      <w:r>
        <w:rPr>
          <w:rFonts w:hint="eastAsia"/>
          <w:lang w:eastAsia="zh-CN"/>
        </w:rPr>
        <w:t>A105000《纳税调整项目明细表》填报说明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本表由纳税人根据税法、相关税收规定以及国家统一会计制度的规定，填报企业所得税涉税事项的会计处理、税务处理以及纳税调整情况。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纳税人按照“收入类调整项目”“扣除类调整项目”“资产类调整项目”“特殊事项调整项目”“特别纳税调整应税所得”“其他”六类分项填报，汇总计算出纳税“调增金额”和“调减金额”的合计金额。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数据栏分别设置“账载金额”“税收金额”“调增金额”“调减金额”四个栏次。“账载金额”是指纳税人按照国家统一会计制度规定核算的项目金额。“税收金额” 是指纳税人按照税收规定计算的项目金额。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对需填报下级明细表的纳税调整项目，其“账载金额”“税收金额”“调增金额” “调减金额”根据相应附表进行计算填报。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（一）收入类调整项目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 1 行“一、收入类调整项目”：根据第 2 行至第 11 行(不含第 9 行)进行填报。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 2 行“（一）视同销售收入”：根据《视同销售和房地产开发企业特定业务纳税调整明细表》(A105010)填报。第 2 列“税收金额”填报表 A105010 第 1 行第 1 列金额。第 3 列“调增金额”填报表 A105010 第 1 行第 2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 3 行“（二）未按权责发生制原则确认的收入”：根据《未按权责发生制确认收入纳税调整明细表》(A105020)填报。第 1 列“账载金额”填报表 A105020 第 14 行第 2 列金额。第 2 列“税收金额”填报表 A105020 第 14 行第 4 列金额。若表 A105020 第 14 行第 6 列≥0，第 3 列“调增金额”填报表 A105020 第 14 行第6 列金额。若表 A105020第 14 行第 6 列＜0，第 4 列“调减金额”填报表 A105020 第 14 行第 6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 4 行“（三）投资收益”：根据《投资收益纳税调整明细表》(A105030)填报。第 1 列“账载金额”填报表 A105030 第 10 行第 1+8 列的合计金额。第 2 列“税收金额” 填报表 A105030 第 10 行第 2+9 列的合计金额。若表 A105030 第 10 行第 11 列≥0，第 3列“调增金额”填报表 A105030 第 10 行第 11 列金额。若表 A105030 第 10 行第 11 列＜0，第 4 列“调减金额”填报表 A105030 第 10 行第 11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 5 行“（四）按权益法核算长期股权投资对初始投资成本调整确认收益”：第 4 列“调减金额”填报纳税人采取权益法核算，初始投资成本小于取得投资时应享有被投资单位可辩认净资产公允价值份额的差额计入取得投资当期营业外收入的金额。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 6 行“（五）交易性金融资产初始投资调整”：第 3 列“调增金额”填报纳税人根据税收规定确认交易性金融资产初始投资金额与会计核算的交易性金融资产初始投资账面价值的差额。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 7 行“（六）公允价值变动净损益”：第 1 列“账载金额”填报纳税人会计核算的以公允价值计量的金融资产、金融负债以及投资性房地产类项目，计入当期损益的公允价值变动金额。若第 1 列≤0，第 3 列“调增金额”填报第 1 列金额的绝对值。若第 1 列＞0，第 4 列“调减金额”填报第 1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 8 行“（七）不征税收入”：填报纳税人计入收入总额但属于税收规定不征税的财政拨款、依法收取并纳入财政管理的行政事业性收费以及政府性基金和国务院规定的其他不征税收入。第 3 列“调增金额”填报纳税人以前年度取得财政性资金且已作为不征税收入处理，在 5 年（60 个月）内未发生支出且未缴回财政部门或其他拨付资金的政府部门，应计入应税收入额的金额。第 4 列“调减金额”填报符合税收规定不征税收入条件并作为不征税收入处理，且已计入当期损益的金额。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 9 行“专项用途财政性资金”：根据《专项用途财政性资金纳税调整明细表》(A105040)填报。第 3 列“调增金额”填报表 A105040 第 7 行第 14 列金额。第 4 列“调减金额”填报表 A105040 第 7 行第 4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 10 行“（八）销售折扣、折让和退回”：填报不符合税收规定的销售折扣、折让应进行纳税调整的金额和发生的销售退回因会计处理与税收规定有差异需纳税调整的金额。第 1 列“账载金额”填报纳税人会计核算的销售折扣、折让金额和销货退回的追溯处理的净调整额。第 2 列“税收金额”填报根据税收规定可以税前扣除的折扣、折让的金额和销货退回业务影响当期损益的金额。若第 1 列≥第 2 列，第 3 列“调增金额”填报第 1-2 列金额。若第 1 列＜第 2 列，第 4 列“调减金额”填报第 1-2 列金额的绝对值，第 4 列仅为销货退回影响损益的跨期时间性差异。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 11 行“（九）其他”：填报其他因会计处理与税收规定有差异需纳税调整的收入类项目金额。若第 2 列≥第 1 列，第 3 列“调增金额”填报第 2-1 列金额。若第 2 列＜第 1 列，第 4 列“调减金额”填报第 2-1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（二）扣除类调整项目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 12 行“二、扣除类调整项目”：根据第 13 行至第 30 行(不含第 25 行)填报。</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 13 行“（一）视同销售成本”：根据《视同销售和房地产开发企业特定业务纳税调整明细表》(A105010)填报。第 2 列“税收金额”填报表 A105010 第 11 行第 1列金额。第 4 列“调减金额”填报表 A105010 第 11 行第 2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 14 行“（二）职工薪酬”：根据《职工薪酬支出及纳税调整明细表》(A105050) 填报。第 1 列“账载金额”填报表 A105050 第 13 行第 1 列金额。第 2 列“税收金额”填报表 A105050 第 13 行第 5 列金额。若表 A105050 第 13 行第 6 列≥0，第 3 列“调增金额”填报表 A105050 第 13 行第 6 列金额。若表 A105050 第 13 行第 6 列＜0，第 4 列“调减金额”填报表 A105050 第 13 行第 6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 15 行“（三）业务招待费支出”：第 1 列“账载金额”填报纳税人会计核算计入当期损益的业务招待费金额。第 2 列“税收金额”填报按照税收规定允许税前扣除的业务招待费支出的金额。第 3 列“调增金额”填报第 1-2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 16 行“（四）广告费和业务宣传费支出”：根据《广告费和业务宣传费等跨年度纳税调整明细表》(A105060)填报。若表 A105060 第 12 行第 1 列≥0，第 3 列“调增金额”填报表 A105060 第 12 行第 1 列金额。若表 A105060 第 12 行第 1 列＜0，第 4 列“调减金额”填报表 A105060 第 12 行第 1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 17 行“（五）捐赠支出”：根据《捐赠支出及纳税调整明细表》(A105070)填报。第 1 列“账载金额”填报表 A105070 合计行第 1 列金额。第 2 列“税收金额” 填报表 A105070 合计行第 4 列金额。第 3 列“调增金额”填报表 A105070 合计行第 5 列金额。第 4 列“调减金额”填报表 A105070 合计行第 6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 18 行“（六）利息支出”：第 1 列“账载金额”填报纳税人向非金融企业借款，会计核算计入当期损益的利息支出的金额。发行永续债的利息支出不在本行填报。第 2 列“税收金额”填报按照税收规定允许税前扣除的利息支出的金额。若第 1列≥第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 19 行“（七）罚金、罚款和被没收财物的损失”：第 1 列“账载金额”填报纳税人会计核算计入当期损益的罚金、罚款和被没收财物的损失，不包括纳税人按照经济合同规定支付的违约金（包括银行罚息）、罚款和诉讼费。第 3 列“调增金额”填报第 1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 20 行“（八）税收滞纳金、加收利息”：第 1 列“账载金额”填报纳税人会计核算计入当期损益的税收滞纳金、加收利息。第 3 列“调增金额”填报第 1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 21 行“（九）赞助支出”：第 1 列“账载金额”填报纳税人会计核算计入当期损益的不符合税收规定的公益性捐赠的赞助支出的金额，包括直接向受赠人的捐赠、赞助支出等（不含广告性的赞助支出，广告性的赞助支出在表 A105060 中填报）。第 3 列“调增金额”填报第 1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 22 行“（十）与未实现融资收益相关在当期确认的财务费用”：第 1 列“账载金额”填报纳税人会计核算的与未实现融资收益相关并在当期确认的财务费用的金额。第 2 列“税收金额”填报按照税收规定允许税前扣除的金额。若第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 23 行“（十一）佣金和手续费支出”：除保险企业之外的其他企业直接填报本行，第 1 列“账载金额”填报纳税人会计核算计入当期损益的佣金和手续费金额，第 2 列“税收金额”填报按照税收规定允许税前扣除的佣金和手续费支出金额，第 3列“调增金额”填报第 1-2 列金额，第 4 列“调减金额”不可填报。保险企业根据《广告费和业务宣传费等跨年度纳税调整明细表》(A105060)填报，第 1 列“账载金额”填报表 A105060 第 1 行第 2 列。若表 A105060 第 3 行第 2 列≥第 6 行第 2 列，第 2 列“税收金额”填报 A105060 第 6 行第 2 列的金额；若表 A105060 第 3 行第 2 列＜第 6 行第 2列，第 2 列“税收金额”填报 A105060 第 3 行第 2 列+第 9 行第 2 列的金额。若表 A105060第 12 行第 2 列≥0，第 3 列“调增金额”填报表 A105060 第 12 行第2 列金额。若表 A105060第 12 行第 2 列＜0，第 4 列“调减金额”填报表 A105060 第 12 行第 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 24 行“（十二）不征税收入用于支出所形成的费用”：第 3 列“调增金额” 填报符合条件的不征税收入用于支出所形成的计入当期损益的费用化支出金额。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 25 行“专项用途财政性资金用于支出所形成的费用”：根据《专项用途财政性资金纳税调整明细表》(A105040)填报。第 3 列“调增金额”填报表 A105040 第 7行第 11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 26 行“（十三）跨期扣除项目”：填报维简费、安全生产费用、预提费用、预计负债等跨期扣除项目调整情况。第 1 列“账载金额”填报纳税人会计核算计入当期损益的跨期扣除项目金额。第 2 列“税收金额”填报按照税收规定允许税前扣除的金额。若第 1 列≥第 2 列，第 3 列“调增金额”填报第 1-2 列金额。若第 1 列＜第 2列，第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27、第 27 行“（十四）与取得收入无关的支出”：第 1 列“账载金额”填报纳税人会计核算计入当期损益的与取得收入无关的支出的金额。第 3 列“调增金额”填报第 1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28、第 28 行“（十五）境外所得分摊的共同支出”：根据《境外所得纳税调整后所得明细表》（A108010）填报。第 3 列“调增金额”填报表 A108010 合计行第 16+17 列金额。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29、第 29 行“（十六）党组织工作经费”：填报纳税人根据有关文件规定，为创新基层党建工作、建立稳定的经费保障制度发生的党组织工作经费及纳税调整情况。 30、第 30 行“（十七）其他”：填报其他因会计处理与税收规定有差异需纳税调整的扣除类项目金额，企业将货物、资产、劳务用于捐赠、广告等用途时，进行视同销售纳税调整后，对应支出的会计处理与税收规定有差异需纳税调整的金额填报在本行。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（三）资产类调整项目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31、第 31 行“三、资产类调整项目”：填报资产类调整项目第 32 行至第 35 行的合计金额。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32、第 32 行“（一）资产折旧、摊销”：根据《资产折旧、摊销及纳税调整明细表》(A105080)填报。第 1 列“账载金额”填报表 A105080 第 41 行第 2 列金额。第 2列“税收金额”填报表 A105080 第 41 行第 5 列金额。若表 A105080 第 41 行第 9 列≥0，第 3 列“调增金额”填报表 A105080 第 41 行第 9 列金额。若表 A105080 第 41 行第 9列＜0，第 4 列“调减金额”填报表 A105080 第 41 行第 9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33、第 33 行“（二）资产减值准备金”：填报坏账准备、存货跌价准备、理赔费用准备金等不允许税前扣除的各类资产减值准备金纳税调整情况。第 1 列“账载金额” 填报纳税人会计核算计入当期损益的资产减值准备金金额（因价值恢复等原因转回的资产减值准备金应予以冲回）。若第 1 列≥0，第 3 列“调增金额”填报第 1 列金额。若第 1 列＜0，第 4 列“调减金额”填报第 1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34、第 34 行“（三）资产损失”：根据《资产损失税前扣除及纳税调整明细表》(A105090)填报。若表 A105090 第 29 行第 7 列≥0，第 3 列“调增金额”填报表 A105090 第 29 行第 7 列金额。若表 A105090 第 29 行第 7 列＜0，第 4 列“调减金额”填报表 A105090第 29 行第 7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35、第 35 行“（四）其他”：填报其他因会计处理与税收规定有差异需纳税调整的资产类项目金额。若第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（四）特殊事项调整项目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36、第 36 行“四、特殊事项调整项目”：填报特殊事项调整项目第 37 行至第 43 行的合计金额。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37、第 37 行“（一）企业重组及递延纳税事项”：根据《企业重组及递延纳税事项纳税调整明细表》(A105100)填报。第 1 列“账载金额”填报表 A105100 第 16 行第1+4 列金额。第 2 列“税收金额”填报表 A105100 第 16 行第 2+5 列金额。若表 A105100 第 16 行第 7 列≥0，第 3 列“调增金额”填报表 A105100 第 16 行第7 列金额。若表 A105100第 16 行第 7 列＜0，第 4 列“调减金额”填报表 A105100 第 16 行第 7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38、第 38 行“（二）政策性搬迁”：根据《政策性搬迁纳税调整明细表》(A105110)填报。若表 A105110 第 24 行≥0，第 3 列“调增金额”填报表 A105110 第 24 行金额。若表 A105110 第 24 行＜0，第 4 列“调减金额”填报表 A105110 第 24 行金额的绝对值。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39、第 39 行“（三）特殊行业准备金”：填报特殊行业准备金调整项目第 39、1 行至第 39、7 行(不包含第 39、3 行)的合计金额。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40、第 39、1 行“1、保险公司保险保障基金”：第 1 列“账载金额”填报纳税人会计核算的保险公司保险保障基金的金额。第 2 列“税收金额”填报按照税收规定允许税前扣除的金额。若第 1 列≥第 2 列，第 3 列“调增金额”填报第 1-2 列金额。若第 1列＜第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41、第 39、2 行“2、保险公司准备金”：第 1 列“账载金额”填报纳税人会计核算的保险公司准备金的金额。第 2 列“税收金额”填报按照税收规定允许税前扣除的金额。若第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42、第 39、3 行“其中：已发生未报案未决赔款准备金”：第 1 列“账载金额”填报纳税人会计核算的保险公司未决赔款准备金中已发生未报案准备金的金额。第 2 列“税收金额”填报按照税收规定允许税前扣除的金额。若第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43、第 39、4 行“3、证券行业准备金”：第 1 列“账载金额”填报纳税人会计核算的证券行业准备金的金额。第 2 列“税收金额”填报按照税收规定允许税前扣除的金额。若第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44、第 39、5 行“4、期货行业准备金”：第 1 列“账载金额”填报纳税人会计核算的期货行业准备金的金额。第 2 列“税收金额”填报按照税收规定允许税前扣除的金额。若第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45、第 39、6 行“5、中小企业融资（信用）担保机构准备金”：第 1 列“账载金额”填报纳税人会计核算的中小企业融资（信用）担保机构准备金的金额。第 2 列“税收金额”填报按照税收规定允许税前扣除的金额。若第 1 列≥第 2 列，第 3 列“调增金额”填报第 1-2 列金额。若第 1 列＜第 2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46、第 39、7 行“6、金融企业、小额贷款公司准备金”：根据《贷款损失准备金及纳税调整明细表》(A105120)填报。若表 A105120 第 10 行第 11 列≥0，第 3 列“调增金额”填报表 A105120 第 10 行第 11 列金额。若表 A105120 第 10 行第 11 列＜0，第 4 列“调减金额”填报表 A105120 第 10 行第 11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47、第 40 行“（四）房地产开发企业特定业务计算的纳税调整额”：根据《视同销售和房地产开发企业特定业务纳税调整明细表》(A105010)填报。第 2 列“税收金额” 填报表 A105010 第 21 行第 1 列金额。若表 A105010 第 21 行第 2 列≥0，第 3 列“调增金额”填报表 A105010 第 21 行第 2 列金额。若表 A105010 第 21 行第 2 列＜0，第 4 列“调减金额”填报表 A105010 第 21 行第 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48、第 41 行“（五）合伙企业法人合伙人分得的应纳税所得额”：第 1 列“账载金额”填报合伙企业法人合伙人本年会计核算上确认的对合伙企业的投资所得。第 2 列“税收金额”填报纳税人按照“先分后税”原则和《财政部 国家税务总局关于合伙企业合伙人所得税问题的通知》（财税〔2008〕159 号）文件第四条规定计算的从合伙企业分得的法人合伙人应纳税所得额。若第 1 列≤第 2 列，第 3 列“调增金额”填报第 2-1 列金额。若第 1 列＞第 2 列，第 4 列“调减金额”填报第 2-1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49、第 42 行“（六）发行永续债利息支出”：本行填报企业发行永续债采取的税收处理办法与会计核算方式不一致时的纳税调整情况。当永续债发行方会计上按照债务核算，税收上适用股息、红利企业所得税政策时，第 1 列“账载金额”填报支付的永续债利息支出计入当期损益的金额；第 2 列“税收金额”填报 0。永续债发行方会计上按照权益核算，税收上按照债券利息适用企业所得税政策时，第 1 列“账载金额” 填报 0；第 2 列“税收金额”填报永续债发行方支付的永续债利息支出准予在企业所得税税前扣除的金额。若第 2 列≤第 1 列，第 3 列“调增金额”填报第 1-2 列金额。若第 2 列＞第 1 列，第 4 列“调减金额”填报第 1-2 列金额的绝对值。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50、第 43 行“（七）其他”：填报其他因会计处理与税收规定有差异需纳税调整的特殊事项金额。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（五）特殊纳税调整所得项目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51、第 44 行“五、特别纳税调整应税所得”：第 3 列“调增金额”填报纳税人按特别纳税调整规定自行调增的当年应税所得。第 4 列“调减金额”填报纳税人依据双边预约定价安排或者转让定价相应调整磋商结果的通知，需要调减的当年应税所得。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（六）其他</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52、第 45 行“六、其他”：填报其他会计处理与税收规定存在差异需纳税调整的项目金额，包括企业执行《企业会计准则第 14 号——收入》（财会〔2017〕22 号发布）产生的税会差异纳税调整金额。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53、第 46 行“合计”：填报第 1+12+31+36+44+45 行的合计金额。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 1 行＝第 2+3+4+5+6+7+8+10+11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 12 行＝第 13+14+…+23+24+26+27+28+29+30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 31 行＝第 32+33+34+35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 36 行＝第 37+38+39+40+41+42+43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 39 行＝第 39、1+39、2+39、4+39、5+39、6+39、7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 46 行＝第 1+12+31+36+44+45 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 2 行第 2 列＝表 A105010 第 1 行第 1 列；第 2 行第 3 列＝表 A105010 第 1 行第 2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 3 行第 1 列＝表 A105020 第 14 行第 2 列；第 3 行第 2 列＝表 A105020 第 14行第 4 列；若表 A105020 第 14 行第 6 列≥0，第 3 行第 3 列＝表 A105020 第 14 行第 6列；若表 A105020 第 14 行第 6 列＜0，第 3 行第 4 列＝表 A105020 第 14 行第 6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 4 行第 1 列＝表 A105030 第 10 行第 1+8 列；第 4 行第 2 列＝表 A105030 第 10行第 2+9 列；若表 A105030 第 10 行第 11 列≥0，第 4 行第 3 列＝表 A105030 第 10 行第 11 列；若表 A105030 第 10 行第 11 列＜0，第 4 行第 4 列＝表 A105030 第 10 行第 11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 9 行第 3 列＝表 A105040 第 7 行第 14 列；第 9 行第 4 列＝表 A105040 第 7 行第 4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 13 行第 2 列＝表 A105010 第 11 行第 1 列；第 13 行第 4 列＝表 A105010 第 11行第 2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 14 行第 1 列＝表 A105050 第 13 行第 1 列；第 14 行第 2 列＝表 A105050 第 13行第 5 列；若表 A105050 第 13 行第 6 列≥0，第 14 行第 3 列＝表 A105050 第 13 行第 6列；若表 A105050 第 13 行第 6 列＜0，第 14 行第 4 列＝表 A105050 第 13 行第 6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7、若表 A105060 第 12 行第 1 列≥0，第 16 行第 3 列＝表 A105060 第 12 行第 1 列，若表 A105060 第 12 行第 1 列＜0，第 16 行第 4 列＝表 A105060 第 12 行第 1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 17 行第 1 列＝表 A105070 合计行第 1 列；第 17 行第 2 列＝表 A105070 合计行第 4 列；第 17 行第 3 列＝表 A105070 合计行第 5 列；第 17 行第 4 列＝表 A105070合计行第 6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9、保险企业:第 23 行第 1 列=表 A105060 第 1 行第 2 列。若表 A105060 第 3 行第 2列≥第 6 行第 2 列，第 2 列=表 A105060 第 6 行第 2 列；若表 A105060 第 3 行第 2 列＜第 6 行第 2 列，第 2 列=表 A105060 第 3 行第 2 列+第 9 行第 2 列。若表 A105060 第 12行第 2 列≥0，第 3 列=表 A105060 第 12 行第 2 列。若表 A105060 第 12 行第 2 列＜0，第 4 列=表 A105060 第 12 行第 2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 25 行第 3 列＝表 A105040 第 7 行第 11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 28 行第 3 列＝表 A108010 第 10 行第 16+17 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 32 行第 1 列＝表 A105080 第 41 行第 2 列；第 32 行第 2 列＝表 A105080 第41 行第 5 列；若表 A105080 第 41 行第 9 列≥0，第 32 行第 3 列＝表 A105080 第 41 行第 9 列；若表 A105080 第 41 行第 9 列＜0，第 32 行第 4 列＝表 A105080 第 41 行第 9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13、若表A105090 第 29 行第 7 列≥0，第 34 行第 3 列＝表A105090 第 29 行第 7 列；若表 A105090 第 29 行第 7 列＜0，第 34 行第 4 列＝表 A105090 第 29 行第 7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 37 行第 1 列＝表 A105100 第 16 行第 1+4 列；第 37 行第 2 列＝表 A105100第 16 行第 2+5 列；若表 A105100 第 16 行第 7 列≥0，第 37 行第 3 列＝表 A105100 第16 行第 7 列；若表 A105100 第 16 行第 7 列＜0，第 37 行第 4 列＝表 A105100 第 16 行第 7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15、若表 A105110 第 24 行≥0，第 38 行第 3 列＝表 A105110 第 24 行；若表 A105110第 24 行＜0，第 38 行第 4 列＝表 A105110 第 24 行的绝对值。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16、若表 A105120 第 10 行第 11 列≥0，第 39、7 行第 3 列＝表 A105120 第 10 行第11 列；若表 A105120 第 10 行第 11 列＜0，第 39、7 行第 4 列＝表 A105120 第 10 行第11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 40 行第 2 列＝表A105010 第 21 行第 1 列；若表 A105010 第 21 行第 2 列≥0，第 40 行第 3 列＝表 A105010 第 21 行第 2 列；若表 A105010 第 21 行第 2 列＜0，第 40行第 4 列＝表 A105010 第 21 行第 2 列的绝对值。</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 46 行第 3 列＝表 A100000 第 15 行；第 46 行第 4 列＝表 A100000 第 16 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A105010</w:t>
      </w:r>
      <w:r>
        <w:rPr>
          <w:rFonts w:hint="eastAsia"/>
          <w:lang w:eastAsia="zh-CN"/>
        </w:rPr>
        <w:tab/>
      </w:r>
      <w:r>
        <w:rPr>
          <w:rFonts w:hint="eastAsia"/>
          <w:lang w:eastAsia="zh-CN"/>
        </w:rPr>
        <w:t>视同销售和房地产开发企业特定业务纳税调整明细表</w:t>
      </w:r>
    </w:p>
    <w:tbl>
      <w:tblPr>
        <w:tblStyle w:val="8"/>
        <w:tblW w:w="91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16"/>
        <w:gridCol w:w="6125"/>
        <w:gridCol w:w="1016"/>
        <w:gridCol w:w="141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6"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6125" w:type="dxa"/>
            <w:vMerge w:val="restart"/>
            <w:noWrap w:val="0"/>
            <w:vAlign w:val="center"/>
          </w:tcPr>
          <w:p>
            <w:pPr>
              <w:widowControl/>
              <w:jc w:val="center"/>
              <w:rPr>
                <w:rFonts w:ascii="宋体" w:hAnsi="宋体" w:cs="宋体"/>
                <w:kern w:val="0"/>
                <w:sz w:val="20"/>
                <w:szCs w:val="20"/>
              </w:rPr>
            </w:pPr>
            <w:r>
              <w:rPr>
                <w:rFonts w:hint="eastAsia" w:ascii="宋体" w:hAnsi="宋体" w:cs="宋体"/>
                <w:spacing w:val="500"/>
                <w:kern w:val="0"/>
                <w:sz w:val="20"/>
                <w:szCs w:val="20"/>
                <w:fitText w:val="1400" w:id="6"/>
              </w:rPr>
              <w:t>项</w:t>
            </w:r>
            <w:r>
              <w:rPr>
                <w:rFonts w:hint="eastAsia" w:ascii="宋体" w:hAnsi="宋体" w:cs="宋体"/>
                <w:spacing w:val="0"/>
                <w:kern w:val="0"/>
                <w:sz w:val="20"/>
                <w:szCs w:val="20"/>
                <w:fitText w:val="1400" w:id="6"/>
              </w:rPr>
              <w:t>目</w:t>
            </w:r>
          </w:p>
        </w:tc>
        <w:tc>
          <w:tcPr>
            <w:tcW w:w="10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税收金额</w:t>
            </w:r>
          </w:p>
        </w:tc>
        <w:tc>
          <w:tcPr>
            <w:tcW w:w="14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纳税调整金额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6" w:type="dxa"/>
            <w:vMerge w:val="continue"/>
            <w:noWrap w:val="0"/>
            <w:vAlign w:val="center"/>
          </w:tcPr>
          <w:p>
            <w:pPr>
              <w:widowControl/>
              <w:jc w:val="left"/>
              <w:rPr>
                <w:rFonts w:ascii="宋体" w:hAnsi="宋体" w:cs="宋体"/>
                <w:kern w:val="0"/>
                <w:sz w:val="20"/>
                <w:szCs w:val="20"/>
              </w:rPr>
            </w:pPr>
          </w:p>
        </w:tc>
        <w:tc>
          <w:tcPr>
            <w:tcW w:w="6125" w:type="dxa"/>
            <w:vMerge w:val="continue"/>
            <w:noWrap w:val="0"/>
            <w:vAlign w:val="center"/>
          </w:tcPr>
          <w:p>
            <w:pPr>
              <w:widowControl/>
              <w:jc w:val="left"/>
              <w:rPr>
                <w:rFonts w:ascii="宋体" w:hAnsi="宋体" w:cs="宋体"/>
                <w:kern w:val="0"/>
                <w:sz w:val="20"/>
                <w:szCs w:val="20"/>
              </w:rPr>
            </w:pPr>
          </w:p>
        </w:tc>
        <w:tc>
          <w:tcPr>
            <w:tcW w:w="10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4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612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一、视同销售（营业）收入（2+3+4+5+6+7+8+9+10）</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（一）非货币性资产交换视同销售收入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（二）用于市场推广或销售视同销售收入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（三）用于交际应酬视同销售收入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（四）用于职工奖励或福利视同销售收入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（五）用于股息分配视同销售收入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（六）用于对外捐赠视同销售收入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（七）用于对外投资项目视同销售收入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（八）提供劳务视同销售收入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（九）其他</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612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二、视同销售（营业）成本（12+13+14+15+16+17+18+19+20）</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（一）非货币性资产交换视同销售成本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（二）用于市场推广或销售视同销售成本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（三）用于交际应酬视同销售成本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（四）用于职工奖励或福利视同销售成本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（五）用于股息分配视同销售成本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（六）用于对外捐赠视同销售成本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（七）用于对外投资项目视同销售成本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（八）提供劳务视同销售成本</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（九）其他</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612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三、房地产开发企业特定业务计算的纳税调整额（22-26）</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6125" w:type="dxa"/>
            <w:vMerge w:val="restart"/>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（一）房地产企业销售未完工开发产品特定业务计算的纳税调整额（24-25）</w:t>
            </w:r>
          </w:p>
        </w:tc>
        <w:tc>
          <w:tcPr>
            <w:tcW w:w="1016" w:type="dxa"/>
            <w:vMerge w:val="restart"/>
            <w:noWrap w:val="0"/>
            <w:vAlign w:val="center"/>
          </w:tcPr>
          <w:p>
            <w:pPr>
              <w:widowControl/>
              <w:jc w:val="center"/>
              <w:rPr>
                <w:rFonts w:ascii="宋体" w:hAnsi="宋体" w:cs="宋体"/>
                <w:kern w:val="0"/>
                <w:sz w:val="20"/>
                <w:szCs w:val="20"/>
              </w:rPr>
            </w:pPr>
          </w:p>
        </w:tc>
        <w:tc>
          <w:tcPr>
            <w:tcW w:w="1416" w:type="dxa"/>
            <w:vMerge w:val="restart"/>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vMerge w:val="continue"/>
            <w:noWrap w:val="0"/>
            <w:vAlign w:val="center"/>
          </w:tcPr>
          <w:p>
            <w:pPr>
              <w:widowControl/>
              <w:jc w:val="left"/>
              <w:rPr>
                <w:rFonts w:ascii="宋体" w:hAnsi="宋体" w:cs="宋体"/>
                <w:kern w:val="0"/>
                <w:sz w:val="20"/>
                <w:szCs w:val="20"/>
              </w:rPr>
            </w:pPr>
          </w:p>
        </w:tc>
        <w:tc>
          <w:tcPr>
            <w:tcW w:w="6125" w:type="dxa"/>
            <w:vMerge w:val="continue"/>
            <w:noWrap w:val="0"/>
            <w:vAlign w:val="center"/>
          </w:tcPr>
          <w:p>
            <w:pPr>
              <w:widowControl/>
              <w:jc w:val="left"/>
              <w:rPr>
                <w:rFonts w:ascii="宋体" w:hAnsi="宋体" w:cs="宋体"/>
                <w:kern w:val="0"/>
                <w:sz w:val="20"/>
                <w:szCs w:val="20"/>
              </w:rPr>
            </w:pPr>
          </w:p>
        </w:tc>
        <w:tc>
          <w:tcPr>
            <w:tcW w:w="1016" w:type="dxa"/>
            <w:vMerge w:val="continue"/>
            <w:noWrap w:val="0"/>
            <w:vAlign w:val="center"/>
          </w:tcPr>
          <w:p>
            <w:pPr>
              <w:widowControl/>
              <w:jc w:val="center"/>
              <w:rPr>
                <w:rFonts w:ascii="宋体" w:hAnsi="宋体" w:cs="宋体"/>
                <w:kern w:val="0"/>
                <w:sz w:val="20"/>
                <w:szCs w:val="20"/>
              </w:rPr>
            </w:pPr>
          </w:p>
        </w:tc>
        <w:tc>
          <w:tcPr>
            <w:tcW w:w="1416" w:type="dxa"/>
            <w:vMerge w:val="continue"/>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6125"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销售未完工产品的收入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6125"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销售未完工产品预计毛利额</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6125"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实际发生的税金及附加、土地增值税</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6125"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（二）房地产企业销售的未完工产品转完工产品特定业务计算的纳税调整额（28-29）</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6125"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销售未完工产品转完工产品确认的销售收入</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6125"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转回的销售未完工产品预计毛利额</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6125" w:type="dxa"/>
            <w:noWrap w:val="0"/>
            <w:vAlign w:val="center"/>
          </w:tcPr>
          <w:p>
            <w:pPr>
              <w:widowControl/>
              <w:ind w:firstLine="800" w:firstLineChars="400"/>
              <w:jc w:val="left"/>
              <w:rPr>
                <w:rFonts w:ascii="宋体" w:hAnsi="宋体" w:cs="宋体"/>
                <w:kern w:val="0"/>
                <w:sz w:val="20"/>
                <w:szCs w:val="20"/>
              </w:rPr>
            </w:pPr>
            <w:r>
              <w:rPr>
                <w:rFonts w:hint="eastAsia"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转回实际发生的税金及附加、土地增值税</w:t>
            </w:r>
          </w:p>
        </w:tc>
        <w:tc>
          <w:tcPr>
            <w:tcW w:w="1016" w:type="dxa"/>
            <w:noWrap w:val="0"/>
            <w:vAlign w:val="center"/>
          </w:tcPr>
          <w:p>
            <w:pPr>
              <w:widowControl/>
              <w:jc w:val="center"/>
              <w:rPr>
                <w:rFonts w:ascii="宋体" w:hAnsi="宋体" w:cs="宋体"/>
                <w:kern w:val="0"/>
                <w:sz w:val="20"/>
                <w:szCs w:val="20"/>
              </w:rPr>
            </w:pPr>
          </w:p>
        </w:tc>
        <w:tc>
          <w:tcPr>
            <w:tcW w:w="1416" w:type="dxa"/>
            <w:noWrap w:val="0"/>
            <w:vAlign w:val="center"/>
          </w:tcPr>
          <w:p>
            <w:pPr>
              <w:widowControl/>
              <w:jc w:val="center"/>
              <w:rPr>
                <w:rFonts w:ascii="宋体" w:hAnsi="宋体" w:cs="宋体"/>
                <w:kern w:val="0"/>
                <w:sz w:val="20"/>
                <w:szCs w:val="20"/>
              </w:rPr>
            </w:pP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b/>
          <w:bCs/>
          <w:sz w:val="36"/>
          <w:szCs w:val="36"/>
          <w:lang w:eastAsia="zh-CN"/>
        </w:rPr>
      </w:pPr>
    </w:p>
    <w:p>
      <w:pPr>
        <w:pStyle w:val="4"/>
        <w:bidi w:val="0"/>
        <w:rPr>
          <w:rFonts w:hint="eastAsia"/>
          <w:lang w:eastAsia="zh-CN"/>
        </w:rPr>
      </w:pPr>
      <w:r>
        <w:rPr>
          <w:rFonts w:hint="eastAsia"/>
          <w:lang w:eastAsia="zh-CN"/>
        </w:rPr>
        <w:t>A105010</w:t>
      </w:r>
      <w:r>
        <w:rPr>
          <w:rFonts w:hint="eastAsia"/>
          <w:lang w:eastAsia="zh-CN"/>
        </w:rPr>
        <w:tab/>
      </w:r>
      <w:r>
        <w:rPr>
          <w:rFonts w:hint="eastAsia"/>
          <w:lang w:eastAsia="zh-CN"/>
        </w:rPr>
        <w:t>《视同销售和房地产开发企业特定业务纳税调整明细表》填报说明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发生视同销售、房地产企业特定业务纳税调整项目的纳税人填报。纳税人根据税法、《国家税务总局关于企业处置资产所得税处理问题的通知》（国税函〔2008〕828号）、《国家税务总局关于印发〈房地产开发经营业务企业所得税处理办法〉的通知》（国税发〔2009〕31号）、《国家税务总局关于企业所得税有关问题的公告》（国家税务总局公告2016年第80号）等相关规定，以及国家统一企业会计制度，填报视同销售行为、房地产企业销售未完工产品、未完工产品转完工产品特定业务的税收规定及纳税调整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一、视同销售收入”：填报会计处理不确认销售收入，而税收规定确认为应税收入的金额，本行为第2行至第10行小计数。第1列“税收金额”填报税收确认的应税收入金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行“（一）非货币性资产交换视同销售收入”：填报发生非货币性资产交换业务，会计处理不确认销售收入，而税收规定确认为应税收入的金额。第1列“税收金额”填报税收确认的应税收入金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3、第3行“（二）用于市场推广或销售视同销售收入”：填报发生将货物、财产用于市场推广、广告、样品、集资、销售等，会计处理不确认销售收入，而税收规定确认为应税收入的金额。填列方法同第2行。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4、第4行“（三）用于交际应酬视同销售收入”：填报发生将货物、财产用于交际应酬，会计处理不确认销售收入，而税收规定确认为应税收入的金额。填列方法同第2行。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行“（四）用于职工奖励或福利视同销售收入”：填报发生将货物、财产用于职工奖励或福利，会计处理不确认销售收入，而税收规定确认为应税收入的金额。企业外购资产或服务不以销售为目的，用于替代职工福利费用支出，且购置后在一个纳税年度内处置的，以公允价值确定视同销售收入。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6、第6行“（五）用于股息分配视同销售收入”：填报发生将货物、财产用于股息分配，会计处理不确认销售收入，而税收规定确认为应税收入的金额。填列方法同第2行。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7、第7行“（六）用于对外捐赠视同销售收入”：填报发生将货物、财产用于对外捐赠或赞助，会计处理不确认销售收入，而税收规定确认为应税收入的金额。填列方法同第2行。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8、第8行“（七）用于对外投资项目视同销售收入”：填报发生将货物、财产用于对外投资，会计处理不确认销售收入，而税收规定确认为应税收入的金额。填列方法同第2行。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9、第9行“（八）提供劳务视同销售收入”：填报发生对外提供劳务，会计处理不确认销售收入，而税收规定确认为应税收入的金额。填列方法同第2行。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10、第10行“（九）其他”：填报发生除上述列举情形外，会计处理不作为销售收入核算，而税收规定确认为应税收入的金额。填列方法同第2行。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11行“一、视同销售成本”：填报会计处理不确认销售收入，税收规定确认为应税收入对应的视同销售成本金额。本行为第12行至第20行小计数。第1列“税收金额”填报予以税前扣除的视同销售成本金额；将第1列税收金额以负数形式填报第2列“纳税调整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12行“（一）非货币性资产交换视同销售成本”：填报发生非货币性资产交换业务，会计处理不确认销售收入，税收规定确认为应税收入所对应的应予以税前扣除的视同销售成本金额。第1列“税收金额”填报予以扣除的视同销售成本金额；将第1列税收金额以负数形式填报第2列“纳税调整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13行“（二）用于市场推广或销售视同销售成本”：填报发生将货物、财产用于市场推广、广告、样品、集资、销售等，会计处理不确认销售收入，税收规定确认为应税收入时，其对应的应予以税前扣除的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14行“（三）用于交际应酬视同销售成本”：填报发生将货物、财产用于交际应酬，会计处理不确认销售收入，税收规定确认为应税收入时，其对应的应予以税前扣除的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15行“（四）用于职工奖励或福利视同销售成本”：填报发生将货物、财产用于职工奖励或福利，会计处理不确认销售收入，税收规定确认为应税收入时，其对应的应予以税前扣除的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16行“（五）用于股息分配视同销售成本”：填报发生将货物、财产用于股息分配，会计处理不确认销售收入，税收规定确认为应税收入时，其对应的应予以税前扣除的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17行“（六）用于对外捐赠视同销售成本”：填报发生将货物、财产用于对外捐赠或赞助，会计处理不确认销售收入，税收规定确认为应税收入时，其对应的应予以税前扣除的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18行“（七）用于对外投资项目视同销售成本”：填报会计处理发生将货物、财产用于对外投资，会计处理不确认销售收入，税收规定确认为应税收入时，其对应的应予以税前扣除的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19、第19行“（八）提供劳务视同销售成本”：填报会计处理发生对外提供劳务，会计处理不确认销售收入，税收规定确认为应税收入时，其对应的应予以税前扣除视同销售成本金额。填列方法同第12行。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20、第20行“（九）其他”：填报发生除上述列举情形外，会计处理不确认销售收入，税收规定确认为应税收入的同时，予以税前扣除视同销售成本金额。填列方法同第12行。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21行“三、房地产开发企业特定业务计算的纳税调整额”：填报房地产企业发生销售未完工产品、未完工产品结转完工产品业务，按照税收规定计算的特定业务的纳税调整额。第1列“税收金额”填报第22行第1列减去第26行第1列的余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22行“（一）房地产企业销售未完工开发产品特定业务计算的纳税调整额”：填报房地产企业销售未完工开发产品取得销售收入，按税收规定计算的纳税调整额。第1列“税收金额”填报第24行第1列减去第25行第1列的余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23、第23行“1、销售未完工产品的收入”：第1列“税收金额”填报房地产企业销售未完工开发产品，会计核算未进行收入确认的销售收入金额。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24、第24行“2、销售未完工产品预计毛利额”：第1列“税收金额”填报房地产企业销售未完工产品取得的销售收入按税收规定预计计税毛利率计算的金额；第2列“纳税调整金额”等于第1列“税收金额”。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25行“3、实际发生的税金及附加、土地增值税”：第1列“税收金额”填报房地产企业销售未完工产品实际发生的税金及附加、土地增值税，且在会计核算中未计入当期损益的金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26行“（二）房地产企业销售的未完工产品转完工产品特定业务计算的纳税调整额”：填报房地产企业销售的未完工产品转完工产品，按税收规定计算的纳税调整额。第1列“税收金额”填报第28行第1列减去第29行第1列的余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27、第27行“1、销售未完工产品转完工产品确认的销售收入”：第1列“税收金额”填报房地产企业销售的未完工产品，此前年度已按预计毛利额征收所得税，本年度结转为完工产品，会计上符合收入确认条件，当年会计核算确认的销售收入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28、第28行“2、转回的销售未完工产品预计毛利额”：第1列“税收金额”填报房地产企业销售的未完工产品，此前年度已按预计毛利额征收所得税，本年结转完工产品，会计核算确认为销售收入，转回原按税收规定预计计税毛利率计算的金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29、第29行“3、转回实际发生的税金及附加、土地增值税”：填报房地产企业销售的未完工产品结转完工产品后，会计核算确认为销售收入，同时将对应实际发生的税金及附加、土地增值税转入当期损益的金额；第2列“纳税调整金额”等于第1列“税收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1、第1行＝第2+3+…+10行。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2、第11行＝第12+13+…+20行。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3、第21行＝第22-26行。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4、第22行＝第24-25行。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5、第26行＝第28-29行。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1、第1行第1列＝表A105000第2行第2列。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2、第1行第2列＝表A105000第2行第3列。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3、第11行第1列＝表A105000第13行第2列。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4、第11行第2列的绝对值＝表A105000第13行第4列。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5、第21行第1列＝表A105000第40行第2列。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4"/>
          <w:szCs w:val="24"/>
          <w:lang w:eastAsia="zh-CN"/>
        </w:rPr>
      </w:pPr>
      <w:r>
        <w:rPr>
          <w:rFonts w:hint="eastAsia" w:ascii="微软雅黑" w:hAnsi="微软雅黑" w:eastAsia="微软雅黑" w:cs="微软雅黑"/>
          <w:sz w:val="21"/>
          <w:szCs w:val="21"/>
          <w:lang w:eastAsia="zh-CN"/>
        </w:rPr>
        <w:t>6、若第21行第2列≥0，第21行第2列=表A105000第40行第3列；若第21行第2列＜0，第21行第2列的绝对值＝表A105000第40行第4列。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微软雅黑" w:hAnsi="微软雅黑" w:eastAsia="微软雅黑" w:cs="微软雅黑"/>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A105020</w:t>
      </w:r>
      <w:r>
        <w:rPr>
          <w:rFonts w:hint="eastAsia"/>
          <w:lang w:eastAsia="zh-CN"/>
        </w:rPr>
        <w:tab/>
      </w:r>
      <w:r>
        <w:rPr>
          <w:rFonts w:hint="eastAsia"/>
          <w:lang w:eastAsia="zh-CN"/>
        </w:rPr>
        <w:t>未按权责发生制确认收入纳税调整明细表</w:t>
      </w:r>
    </w:p>
    <w:tbl>
      <w:tblPr>
        <w:tblStyle w:val="8"/>
        <w:tblW w:w="1106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5"/>
        <w:gridCol w:w="4566"/>
        <w:gridCol w:w="1209"/>
        <w:gridCol w:w="924"/>
        <w:gridCol w:w="968"/>
        <w:gridCol w:w="967"/>
        <w:gridCol w:w="893"/>
        <w:gridCol w:w="10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3" w:hRule="atLeast"/>
          <w:jc w:val="center"/>
        </w:trPr>
        <w:tc>
          <w:tcPr>
            <w:tcW w:w="495"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4566"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项        目</w:t>
            </w:r>
          </w:p>
        </w:tc>
        <w:tc>
          <w:tcPr>
            <w:tcW w:w="1209"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合同金额（交易金额）</w:t>
            </w:r>
          </w:p>
        </w:tc>
        <w:tc>
          <w:tcPr>
            <w:tcW w:w="1892"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账载金额</w:t>
            </w:r>
          </w:p>
        </w:tc>
        <w:tc>
          <w:tcPr>
            <w:tcW w:w="1860"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税收金额</w:t>
            </w:r>
          </w:p>
        </w:tc>
        <w:tc>
          <w:tcPr>
            <w:tcW w:w="1039"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 纳税调整金额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495" w:type="dxa"/>
            <w:vMerge w:val="continue"/>
            <w:noWrap w:val="0"/>
            <w:vAlign w:val="center"/>
          </w:tcPr>
          <w:p>
            <w:pPr>
              <w:widowControl/>
              <w:jc w:val="left"/>
              <w:rPr>
                <w:rFonts w:ascii="宋体" w:hAnsi="宋体" w:cs="宋体"/>
                <w:kern w:val="0"/>
                <w:sz w:val="20"/>
                <w:szCs w:val="20"/>
              </w:rPr>
            </w:pPr>
          </w:p>
        </w:tc>
        <w:tc>
          <w:tcPr>
            <w:tcW w:w="4566" w:type="dxa"/>
            <w:vMerge w:val="continue"/>
            <w:noWrap w:val="0"/>
            <w:vAlign w:val="center"/>
          </w:tcPr>
          <w:p>
            <w:pPr>
              <w:widowControl/>
              <w:jc w:val="left"/>
              <w:rPr>
                <w:rFonts w:ascii="宋体" w:hAnsi="宋体" w:cs="宋体"/>
                <w:kern w:val="0"/>
                <w:sz w:val="20"/>
                <w:szCs w:val="20"/>
              </w:rPr>
            </w:pPr>
          </w:p>
        </w:tc>
        <w:tc>
          <w:tcPr>
            <w:tcW w:w="1209" w:type="dxa"/>
            <w:vMerge w:val="continue"/>
            <w:noWrap w:val="0"/>
            <w:vAlign w:val="center"/>
          </w:tcPr>
          <w:p>
            <w:pPr>
              <w:widowControl/>
              <w:jc w:val="left"/>
              <w:rPr>
                <w:rFonts w:ascii="宋体" w:hAnsi="宋体" w:cs="宋体"/>
                <w:kern w:val="0"/>
                <w:sz w:val="20"/>
                <w:szCs w:val="20"/>
              </w:rPr>
            </w:pPr>
          </w:p>
        </w:tc>
        <w:tc>
          <w:tcPr>
            <w:tcW w:w="924"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w:t>
            </w:r>
          </w:p>
        </w:tc>
        <w:tc>
          <w:tcPr>
            <w:tcW w:w="96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累计</w:t>
            </w:r>
          </w:p>
        </w:tc>
        <w:tc>
          <w:tcPr>
            <w:tcW w:w="96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w:t>
            </w:r>
          </w:p>
        </w:tc>
        <w:tc>
          <w:tcPr>
            <w:tcW w:w="89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累计</w:t>
            </w:r>
          </w:p>
        </w:tc>
        <w:tc>
          <w:tcPr>
            <w:tcW w:w="1039" w:type="dxa"/>
            <w:vMerge w:val="continue"/>
            <w:noWrap w:val="0"/>
            <w:vAlign w:val="center"/>
          </w:tcPr>
          <w:p>
            <w:pPr>
              <w:widowControl/>
              <w:jc w:val="lef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vMerge w:val="continue"/>
            <w:noWrap w:val="0"/>
            <w:vAlign w:val="center"/>
          </w:tcPr>
          <w:p>
            <w:pPr>
              <w:widowControl/>
              <w:jc w:val="left"/>
              <w:rPr>
                <w:rFonts w:ascii="宋体" w:hAnsi="宋体" w:cs="宋体"/>
                <w:kern w:val="0"/>
                <w:sz w:val="20"/>
                <w:szCs w:val="20"/>
              </w:rPr>
            </w:pPr>
          </w:p>
        </w:tc>
        <w:tc>
          <w:tcPr>
            <w:tcW w:w="4566" w:type="dxa"/>
            <w:vMerge w:val="continue"/>
            <w:noWrap w:val="0"/>
            <w:vAlign w:val="center"/>
          </w:tcPr>
          <w:p>
            <w:pPr>
              <w:widowControl/>
              <w:jc w:val="left"/>
              <w:rPr>
                <w:rFonts w:ascii="宋体" w:hAnsi="宋体" w:cs="宋体"/>
                <w:kern w:val="0"/>
                <w:sz w:val="20"/>
                <w:szCs w:val="20"/>
              </w:rPr>
            </w:pPr>
          </w:p>
        </w:tc>
        <w:tc>
          <w:tcPr>
            <w:tcW w:w="120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924"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96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96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9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103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6（4-2）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一、跨期收取的租金、利息、特许权使用费收入（2+3+4）</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（一）租金</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（二）利息</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（三）特许权使用费</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4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二、分期确认收入（6+7+8）</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（一）分期收款方式销售货物收入</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3"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（二）持续时间超过12个月的建造合同收入</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（三）其他分期确认收入</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4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三、政府补助递延收入（10+11+12）</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（一）与收益相关的政府补助</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（二）与资产相关的政府补助</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4566" w:type="dxa"/>
            <w:noWrap w:val="0"/>
            <w:vAlign w:val="center"/>
          </w:tcPr>
          <w:p>
            <w:pPr>
              <w:widowControl/>
              <w:ind w:firstLine="200" w:firstLineChars="100"/>
              <w:jc w:val="left"/>
              <w:rPr>
                <w:rFonts w:ascii="宋体" w:hAnsi="宋体" w:cs="宋体"/>
                <w:kern w:val="0"/>
                <w:sz w:val="20"/>
                <w:szCs w:val="20"/>
              </w:rPr>
            </w:pPr>
            <w:r>
              <w:rPr>
                <w:rFonts w:hint="eastAsia" w:ascii="宋体" w:hAnsi="宋体" w:cs="宋体"/>
                <w:kern w:val="0"/>
                <w:sz w:val="20"/>
                <w:szCs w:val="20"/>
              </w:rPr>
              <w:t>（三）其他</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4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四、其他未按权责发生制确认收入</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9" w:hRule="atLeast"/>
          <w:jc w:val="center"/>
        </w:trPr>
        <w:tc>
          <w:tcPr>
            <w:tcW w:w="49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4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合计（1+5+9+13）</w:t>
            </w:r>
          </w:p>
        </w:tc>
        <w:tc>
          <w:tcPr>
            <w:tcW w:w="120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2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8"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7"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3"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39"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bl>
    <w:p>
      <w:pPr>
        <w:pStyle w:val="4"/>
        <w:bidi w:val="0"/>
        <w:rPr>
          <w:rFonts w:hint="eastAsia"/>
          <w:lang w:eastAsia="zh-CN"/>
        </w:rPr>
      </w:pPr>
      <w:r>
        <w:rPr>
          <w:rFonts w:hint="eastAsia"/>
          <w:lang w:eastAsia="zh-CN"/>
        </w:rPr>
        <w:t>A105020</w:t>
      </w:r>
      <w:r>
        <w:rPr>
          <w:rFonts w:hint="eastAsia"/>
          <w:lang w:eastAsia="zh-CN"/>
        </w:rPr>
        <w:tab/>
      </w:r>
      <w:r>
        <w:rPr>
          <w:rFonts w:hint="eastAsia"/>
          <w:lang w:eastAsia="zh-CN"/>
        </w:rPr>
        <w:tab/>
      </w:r>
      <w:r>
        <w:rPr>
          <w:rFonts w:hint="eastAsia"/>
          <w:lang w:eastAsia="zh-CN"/>
        </w:rPr>
        <w:t>《未按权责发生制确认收入纳税调整明细表》填报说明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会计处理按权责发生制确认收入、税收规定未按权责发生制确认收入需纳税调整的纳税人填报。纳税人根据税法、《国家税务总局关于贯彻落实企业所得税法若干税收问题的通知》（国税函〔2010〕79号）、《国家税务总局关于确认企业所得税收入若干问题的通知》（国税函〔2008〕875号）等相关规定，以及国家统一企业会计制度，填报会计处理按照权责发生制确认收入、税收规定未按权责发生制确认收入的会计处理、税收规定，以及纳税调整情况。符合税收规定不征税收入条件的政府补助收入，本表不作调整，在《专项用途财政性资金纳税调整明细表》（A105040）中纳税调整。</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1、第1列“合同金额或交易金额”：填报会计处理按照权责发生制确认收入、税收规定未按权责发生制确认收入的项目的合同总额或交易总额。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2、第2列“账载金额-本年”：填报纳税人会计处理按权责发生制在本期确认金额。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3、第3列“账载金额-累计”：填报纳税人会计处理按权责发生制累计确认金额（含本年）。</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4、第4列“税收金额-本年”：填报纳税人按税收规定未按权责发生制在本期确认金额。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5、第5列“税收金额-累计”：填报纳税人按税收规定未按权责发生制累计确认金额（含本年）。</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6、第6列“纳税调整金额”：填报纳税人会计处理按权责发生制确认收入、税收规定未按权责发生制确认收入的差异需纳税调整金额，为第4-2列的余额。</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1、第1行＝第2+3+4行。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2、第5行＝第6+7+8行。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3、第9行＝第10+11+12行。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4、第14行＝第1+5+9+13行。</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5、第6列＝第4-2列。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1、第14行第2列＝表A105000第3行第1列。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2、第14行第4列＝表A105000第3行第2列。</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3、若第14行第6列≥0，第14行第6列＝表A105000第3行第3列；若第14行第6列＜0，第14行第6列绝对值＝表A105000第3行第4列。</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sz w:val="24"/>
          <w:szCs w:val="24"/>
          <w:lang w:eastAsia="zh-CN"/>
        </w:rPr>
      </w:pPr>
    </w:p>
    <w:p>
      <w:pPr>
        <w:pStyle w:val="3"/>
        <w:bidi w:val="0"/>
        <w:rPr>
          <w:rFonts w:hint="eastAsia"/>
          <w:lang w:eastAsia="zh-CN"/>
        </w:rPr>
      </w:pPr>
      <w:r>
        <w:rPr>
          <w:rFonts w:hint="eastAsia"/>
          <w:lang w:eastAsia="zh-CN"/>
        </w:rPr>
        <w:t>A105030</w:t>
      </w:r>
      <w:r>
        <w:rPr>
          <w:rFonts w:hint="eastAsia"/>
          <w:lang w:eastAsia="zh-CN"/>
        </w:rPr>
        <w:tab/>
      </w:r>
      <w:r>
        <w:rPr>
          <w:rFonts w:hint="eastAsia"/>
          <w:lang w:eastAsia="zh-CN"/>
        </w:rPr>
        <w:t>投资收益纳税调整明细表</w:t>
      </w:r>
    </w:p>
    <w:tbl>
      <w:tblPr>
        <w:tblStyle w:val="8"/>
        <w:tblW w:w="112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1"/>
        <w:gridCol w:w="2173"/>
        <w:gridCol w:w="751"/>
        <w:gridCol w:w="751"/>
        <w:gridCol w:w="751"/>
        <w:gridCol w:w="751"/>
        <w:gridCol w:w="751"/>
        <w:gridCol w:w="751"/>
        <w:gridCol w:w="751"/>
        <w:gridCol w:w="853"/>
        <w:gridCol w:w="751"/>
        <w:gridCol w:w="835"/>
        <w:gridCol w:w="87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2173"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项        目</w:t>
            </w:r>
          </w:p>
        </w:tc>
        <w:tc>
          <w:tcPr>
            <w:tcW w:w="2253" w:type="dxa"/>
            <w:gridSpan w:val="3"/>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持有收益</w:t>
            </w:r>
          </w:p>
        </w:tc>
        <w:tc>
          <w:tcPr>
            <w:tcW w:w="5443" w:type="dxa"/>
            <w:gridSpan w:val="7"/>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处置收益</w:t>
            </w:r>
          </w:p>
        </w:tc>
        <w:tc>
          <w:tcPr>
            <w:tcW w:w="879"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纳税调整金额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0" w:hRule="atLeast"/>
          <w:jc w:val="center"/>
        </w:trPr>
        <w:tc>
          <w:tcPr>
            <w:tcW w:w="511" w:type="dxa"/>
            <w:vMerge w:val="continue"/>
            <w:noWrap w:val="0"/>
            <w:vAlign w:val="center"/>
          </w:tcPr>
          <w:p>
            <w:pPr>
              <w:widowControl/>
              <w:jc w:val="left"/>
              <w:rPr>
                <w:rFonts w:ascii="宋体" w:hAnsi="宋体" w:cs="宋体"/>
                <w:kern w:val="0"/>
                <w:sz w:val="20"/>
                <w:szCs w:val="20"/>
              </w:rPr>
            </w:pPr>
          </w:p>
        </w:tc>
        <w:tc>
          <w:tcPr>
            <w:tcW w:w="2173" w:type="dxa"/>
            <w:vMerge w:val="continue"/>
            <w:noWrap w:val="0"/>
            <w:vAlign w:val="center"/>
          </w:tcPr>
          <w:p>
            <w:pPr>
              <w:widowControl/>
              <w:jc w:val="left"/>
              <w:rPr>
                <w:rFonts w:ascii="宋体" w:hAnsi="宋体" w:cs="宋体"/>
                <w:kern w:val="0"/>
                <w:sz w:val="20"/>
                <w:szCs w:val="20"/>
              </w:rPr>
            </w:pP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账载金额</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税收金额</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纳税调整金额</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会计确认的处置收入</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税收计算的处置收入</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处置投资的账面价值</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处置投资的计税基础</w:t>
            </w:r>
          </w:p>
        </w:tc>
        <w:tc>
          <w:tcPr>
            <w:tcW w:w="85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会计确认的处置所得或损失</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税收计算的处置所得</w:t>
            </w:r>
          </w:p>
        </w:tc>
        <w:tc>
          <w:tcPr>
            <w:tcW w:w="83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纳税调整金额</w:t>
            </w:r>
          </w:p>
        </w:tc>
        <w:tc>
          <w:tcPr>
            <w:tcW w:w="879" w:type="dxa"/>
            <w:vMerge w:val="continue"/>
            <w:noWrap w:val="0"/>
            <w:vAlign w:val="center"/>
          </w:tcPr>
          <w:p>
            <w:pPr>
              <w:widowControl/>
              <w:jc w:val="lef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1" w:type="dxa"/>
            <w:vMerge w:val="continue"/>
            <w:noWrap w:val="0"/>
            <w:vAlign w:val="center"/>
          </w:tcPr>
          <w:p>
            <w:pPr>
              <w:widowControl/>
              <w:jc w:val="left"/>
              <w:rPr>
                <w:rFonts w:ascii="宋体" w:hAnsi="宋体" w:cs="宋体"/>
                <w:kern w:val="0"/>
                <w:sz w:val="20"/>
                <w:szCs w:val="20"/>
              </w:rPr>
            </w:pPr>
          </w:p>
        </w:tc>
        <w:tc>
          <w:tcPr>
            <w:tcW w:w="2173" w:type="dxa"/>
            <w:vMerge w:val="continue"/>
            <w:noWrap w:val="0"/>
            <w:vAlign w:val="center"/>
          </w:tcPr>
          <w:p>
            <w:pPr>
              <w:widowControl/>
              <w:jc w:val="left"/>
              <w:rPr>
                <w:rFonts w:ascii="宋体" w:hAnsi="宋体" w:cs="宋体"/>
                <w:kern w:val="0"/>
                <w:sz w:val="20"/>
                <w:szCs w:val="20"/>
              </w:rPr>
            </w:pP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3（2-1）</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85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8（4-6）</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9（5-7）</w:t>
            </w:r>
          </w:p>
        </w:tc>
        <w:tc>
          <w:tcPr>
            <w:tcW w:w="83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10（9-8）</w:t>
            </w:r>
          </w:p>
        </w:tc>
        <w:tc>
          <w:tcPr>
            <w:tcW w:w="87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11（3+10）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一、交易性金融资产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二、可供出售金融资产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三、持有至到期投资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四、衍生工具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五、交易性金融负债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六、长期股权投资</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七、短期投资</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八、长期债券投资</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九、其他</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217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合计(1+2+3+4+5+6+7+8+9)</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5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75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3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87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bl>
    <w:p>
      <w:pPr>
        <w:bidi w:val="0"/>
        <w:rPr>
          <w:rFonts w:hint="eastAsia" w:ascii="微软雅黑" w:hAnsi="微软雅黑" w:eastAsia="微软雅黑" w:cs="微软雅黑"/>
          <w:lang w:eastAsia="zh-CN"/>
        </w:rPr>
      </w:pPr>
    </w:p>
    <w:p>
      <w:pPr>
        <w:pStyle w:val="4"/>
        <w:bidi w:val="0"/>
        <w:rPr>
          <w:rFonts w:hint="eastAsia"/>
          <w:lang w:eastAsia="zh-CN"/>
        </w:rPr>
      </w:pPr>
      <w:r>
        <w:rPr>
          <w:rFonts w:hint="eastAsia"/>
          <w:lang w:eastAsia="zh-CN"/>
        </w:rPr>
        <w:t>A105030</w:t>
      </w:r>
      <w:r>
        <w:rPr>
          <w:rFonts w:hint="eastAsia"/>
          <w:lang w:eastAsia="zh-CN"/>
        </w:rPr>
        <w:tab/>
      </w:r>
      <w:r>
        <w:rPr>
          <w:rFonts w:hint="eastAsia"/>
          <w:lang w:eastAsia="zh-CN"/>
        </w:rPr>
        <w:t>《投资收益纳税调整明细表》填报说明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投资收益纳税调整项目的纳税人及从事股权投资业务的纳税人填报。纳税人根据税法、《国家税务总局关于贯彻落实企业所得税法若干税收问题的通知》（国税函〔2010〕79号）等相关规定，以及国家统一企业会计制度，填报投资收益的会计处理、税收规定，以及纳税调整情况。发生持有期间投资收益，并按税收规定为减免税收入的(如国债利息收入等)，本表不作调整。处置投资项目按税收规定确认为损失的，本表不作调整，在《资产损失税前扣除及纳税调整明细表》(A105090)进行纳税调整。处置投资项目符合企业重组且适用特殊性税务处理规定的，本表不作调整，在《企业重组及递延纳税事项纳税调整明细表》（A105100）进行纳税调整。</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已执行《企业会计准则第22号——金融工具确认和计量》（财会〔2017〕7号发布）、《企业会计准则第23号——金融资产转移》（财会〔2017〕8号发布）、《企业会计准则第24号——套期会计》（财会〔2017〕9号发布）、《企业会计准则第37号——金融工具列报》（财会〔2017〕14号发布）（以上四项简称“新金融准则”）的纳税人，若投资收益的项目类别不为本表第1行至第8行的，则在第9行“九、其他”中填报相关会计处理、税收规定，以及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1、第1列“账载金额”：填报纳税人持有投资项目，会计核算确认的投资收益。</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2、第2列“税收金额”：填报纳税人持有投资项目，按照税收规定确认的投资收益。</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3、第3列“纳税调整金额”：填报纳税人持有投资项目，会计核算确认投资收益与税收规定投资收益的差异需纳税调整金额，为第2-1列金额。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4、第4列“会计确认的处置收入”：填报纳税人收回、转让或清算处置投资项目，会计核算确认的扣除相关税费后的处置收入金额。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5、第5列“税收计算的处置收入”：填报纳税人收回、转让或清算处置投资项目，按照税收规定计算的扣除相关税费后的处置收入金额。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6、第6列“处置投资的账面价值”：填报纳税人收回、转让或清算处置的投资项目，会计核算的处置投资的账面价值。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7、第7列“处置投资的计税基础”：填报纳税人收回、转让或清算处置的投资项目，按税收规定计算的处置投资的计税金额。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8、第8列“会计确认的处置所得或损失”：填报纳税人收回、转让或清算处置投资项目，会计核算确认的处置所得或损失，按第4-6列金额填报（损失以“-”号填列）。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9、第9列“税收计算的处置所得”：填报纳税人收回、转让或清算处置投资项目，按照税收规定计算的处置所得，按第5-7列金额填报。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10、第10列“纳税调整金额”：填报纳税人收回、转让或清算处置投资项目，会计处理与税收规定不一致需纳税调整金额，按第9-8列金额填报。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11、第11列“纳税调整金额”：填报第3+10列金额。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1、第10行＝第1+2+3+4+5+6+7+8+9行。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2、第3列＝第2-1列。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3、第8列＝第4-6列。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4、第9列＝第5-7列。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5、第10列＝第9-8列。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6、第11列＝第3+10列。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1、第10行第1+8列＝表A105000第4行第1列。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2、第10行第2+9列＝表A105000第4行第2列。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3、若第10行第11列≥0，第10行第11列＝表A105000第4行第3列；若第10行第11列＜0，第10行第11列绝对值＝表A105000第4行第4列。</w:t>
      </w: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b/>
          <w:bCs/>
          <w:sz w:val="36"/>
          <w:szCs w:val="36"/>
          <w:lang w:eastAsia="zh-CN"/>
        </w:rPr>
      </w:pPr>
    </w:p>
    <w:p>
      <w:pPr>
        <w:pStyle w:val="3"/>
        <w:bidi w:val="0"/>
        <w:rPr>
          <w:rFonts w:hint="eastAsia"/>
          <w:lang w:eastAsia="zh-CN"/>
        </w:rPr>
      </w:pPr>
      <w:r>
        <w:rPr>
          <w:rFonts w:hint="eastAsia"/>
          <w:lang w:eastAsia="zh-CN"/>
        </w:rPr>
        <w:t>A105040</w:t>
      </w:r>
      <w:r>
        <w:rPr>
          <w:rFonts w:hint="eastAsia"/>
          <w:lang w:eastAsia="zh-CN"/>
        </w:rPr>
        <w:tab/>
      </w:r>
      <w:r>
        <w:rPr>
          <w:rFonts w:hint="eastAsia"/>
          <w:lang w:eastAsia="zh-CN"/>
        </w:rPr>
        <w:t>专项用途财政性资金纳税调整明细表</w:t>
      </w:r>
    </w:p>
    <w:tbl>
      <w:tblPr>
        <w:tblStyle w:val="8"/>
        <w:tblW w:w="108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0"/>
        <w:gridCol w:w="1188"/>
        <w:gridCol w:w="841"/>
        <w:gridCol w:w="377"/>
        <w:gridCol w:w="357"/>
        <w:gridCol w:w="614"/>
        <w:gridCol w:w="841"/>
        <w:gridCol w:w="841"/>
        <w:gridCol w:w="841"/>
        <w:gridCol w:w="840"/>
        <w:gridCol w:w="840"/>
        <w:gridCol w:w="841"/>
        <w:gridCol w:w="577"/>
        <w:gridCol w:w="369"/>
        <w:gridCol w:w="569"/>
        <w:gridCol w:w="42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vMerge w:val="restart"/>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行次</w:t>
            </w:r>
          </w:p>
        </w:tc>
        <w:tc>
          <w:tcPr>
            <w:tcW w:w="1188" w:type="dxa"/>
            <w:vMerge w:val="restart"/>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项目</w:t>
            </w:r>
          </w:p>
        </w:tc>
        <w:tc>
          <w:tcPr>
            <w:tcW w:w="841" w:type="dxa"/>
            <w:vMerge w:val="restart"/>
            <w:tcBorders>
              <w:right w:val="single" w:color="auto" w:sz="12" w:space="0"/>
            </w:tcBorders>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取得年度</w:t>
            </w:r>
          </w:p>
        </w:tc>
        <w:tc>
          <w:tcPr>
            <w:tcW w:w="377" w:type="dxa"/>
            <w:vMerge w:val="restart"/>
            <w:tcBorders>
              <w:top w:val="single" w:color="auto" w:sz="12" w:space="0"/>
              <w:left w:val="single" w:color="auto" w:sz="12" w:space="0"/>
              <w:bottom w:val="single" w:color="auto" w:sz="6" w:space="0"/>
            </w:tcBorders>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财政性资金</w:t>
            </w:r>
          </w:p>
        </w:tc>
        <w:tc>
          <w:tcPr>
            <w:tcW w:w="971" w:type="dxa"/>
            <w:gridSpan w:val="2"/>
            <w:tcBorders>
              <w:top w:val="single" w:color="auto" w:sz="12" w:space="0"/>
              <w:bottom w:val="single" w:color="auto" w:sz="6" w:space="0"/>
              <w:right w:val="single" w:color="auto" w:sz="12" w:space="0"/>
            </w:tcBorders>
            <w:noWrap w:val="0"/>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其中：符合不征税收入条件的财政性资金</w:t>
            </w:r>
          </w:p>
        </w:tc>
        <w:tc>
          <w:tcPr>
            <w:tcW w:w="4203" w:type="dxa"/>
            <w:gridSpan w:val="5"/>
            <w:tcBorders>
              <w:left w:val="single" w:color="auto" w:sz="12" w:space="0"/>
            </w:tcBorders>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以前年度支出情况</w:t>
            </w:r>
          </w:p>
        </w:tc>
        <w:tc>
          <w:tcPr>
            <w:tcW w:w="1418" w:type="dxa"/>
            <w:gridSpan w:val="2"/>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本年支出情况</w:t>
            </w:r>
          </w:p>
        </w:tc>
        <w:tc>
          <w:tcPr>
            <w:tcW w:w="1366" w:type="dxa"/>
            <w:gridSpan w:val="3"/>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本年结余情况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vMerge w:val="continue"/>
            <w:noWrap w:val="0"/>
            <w:vAlign w:val="center"/>
          </w:tcPr>
          <w:p>
            <w:pPr>
              <w:spacing w:line="240" w:lineRule="exact"/>
              <w:jc w:val="center"/>
              <w:rPr>
                <w:rFonts w:ascii="宋体" w:hAnsi="宋体" w:cs="宋体"/>
                <w:kern w:val="0"/>
                <w:sz w:val="20"/>
                <w:szCs w:val="20"/>
              </w:rPr>
            </w:pPr>
          </w:p>
        </w:tc>
        <w:tc>
          <w:tcPr>
            <w:tcW w:w="1188" w:type="dxa"/>
            <w:vMerge w:val="continue"/>
            <w:noWrap w:val="0"/>
            <w:vAlign w:val="center"/>
          </w:tcPr>
          <w:p>
            <w:pPr>
              <w:spacing w:line="240" w:lineRule="exact"/>
              <w:jc w:val="center"/>
              <w:rPr>
                <w:rFonts w:ascii="宋体" w:hAnsi="宋体" w:cs="宋体"/>
                <w:kern w:val="0"/>
                <w:sz w:val="20"/>
                <w:szCs w:val="20"/>
              </w:rPr>
            </w:pPr>
          </w:p>
        </w:tc>
        <w:tc>
          <w:tcPr>
            <w:tcW w:w="841" w:type="dxa"/>
            <w:vMerge w:val="continue"/>
            <w:tcBorders>
              <w:right w:val="single" w:color="auto" w:sz="12" w:space="0"/>
            </w:tcBorders>
            <w:noWrap w:val="0"/>
            <w:vAlign w:val="center"/>
          </w:tcPr>
          <w:p>
            <w:pPr>
              <w:widowControl/>
              <w:spacing w:line="240" w:lineRule="exact"/>
              <w:jc w:val="center"/>
              <w:rPr>
                <w:rFonts w:ascii="宋体" w:hAnsi="宋体" w:cs="宋体"/>
                <w:kern w:val="0"/>
                <w:sz w:val="20"/>
                <w:szCs w:val="20"/>
              </w:rPr>
            </w:pPr>
          </w:p>
        </w:tc>
        <w:tc>
          <w:tcPr>
            <w:tcW w:w="377" w:type="dxa"/>
            <w:vMerge w:val="continue"/>
            <w:tcBorders>
              <w:top w:val="single" w:color="auto" w:sz="6" w:space="0"/>
              <w:left w:val="single" w:color="auto" w:sz="12" w:space="0"/>
              <w:bottom w:val="single" w:color="auto" w:sz="6" w:space="0"/>
            </w:tcBorders>
            <w:noWrap w:val="0"/>
            <w:vAlign w:val="center"/>
          </w:tcPr>
          <w:p>
            <w:pPr>
              <w:widowControl/>
              <w:spacing w:line="240" w:lineRule="exact"/>
              <w:jc w:val="center"/>
              <w:rPr>
                <w:rFonts w:ascii="宋体" w:hAnsi="宋体" w:cs="宋体"/>
                <w:kern w:val="0"/>
                <w:sz w:val="20"/>
                <w:szCs w:val="20"/>
              </w:rPr>
            </w:pPr>
          </w:p>
        </w:tc>
        <w:tc>
          <w:tcPr>
            <w:tcW w:w="357" w:type="dxa"/>
            <w:tcBorders>
              <w:top w:val="single" w:color="auto" w:sz="6" w:space="0"/>
              <w:bottom w:val="single" w:color="auto" w:sz="6" w:space="0"/>
            </w:tcBorders>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金额</w:t>
            </w:r>
          </w:p>
        </w:tc>
        <w:tc>
          <w:tcPr>
            <w:tcW w:w="614" w:type="dxa"/>
            <w:tcBorders>
              <w:top w:val="single" w:color="auto" w:sz="6" w:space="0"/>
              <w:bottom w:val="single" w:color="auto" w:sz="6" w:space="0"/>
              <w:right w:val="single" w:color="auto" w:sz="12" w:space="0"/>
            </w:tcBorders>
            <w:noWrap w:val="0"/>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其中：计入本年损益的金额</w:t>
            </w:r>
          </w:p>
        </w:tc>
        <w:tc>
          <w:tcPr>
            <w:tcW w:w="841" w:type="dxa"/>
            <w:tcBorders>
              <w:left w:val="single" w:color="auto" w:sz="12" w:space="0"/>
            </w:tcBorders>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前五年度</w:t>
            </w:r>
          </w:p>
        </w:tc>
        <w:tc>
          <w:tcPr>
            <w:tcW w:w="841"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前四年度</w:t>
            </w:r>
          </w:p>
        </w:tc>
        <w:tc>
          <w:tcPr>
            <w:tcW w:w="841"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前三年度</w:t>
            </w:r>
          </w:p>
        </w:tc>
        <w:tc>
          <w:tcPr>
            <w:tcW w:w="840"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前二年度</w:t>
            </w:r>
          </w:p>
        </w:tc>
        <w:tc>
          <w:tcPr>
            <w:tcW w:w="840"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前一年度</w:t>
            </w:r>
          </w:p>
        </w:tc>
        <w:tc>
          <w:tcPr>
            <w:tcW w:w="841"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支出金额</w:t>
            </w:r>
          </w:p>
        </w:tc>
        <w:tc>
          <w:tcPr>
            <w:tcW w:w="577" w:type="dxa"/>
            <w:noWrap w:val="0"/>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其中：费用化支出金额</w:t>
            </w:r>
          </w:p>
        </w:tc>
        <w:tc>
          <w:tcPr>
            <w:tcW w:w="369"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结余金额</w:t>
            </w:r>
          </w:p>
        </w:tc>
        <w:tc>
          <w:tcPr>
            <w:tcW w:w="569" w:type="dxa"/>
            <w:noWrap w:val="0"/>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其中：上缴财政金额</w:t>
            </w:r>
          </w:p>
        </w:tc>
        <w:tc>
          <w:tcPr>
            <w:tcW w:w="428" w:type="dxa"/>
            <w:noWrap w:val="0"/>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应计入本年应税收入金额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vMerge w:val="continue"/>
            <w:noWrap w:val="0"/>
            <w:vAlign w:val="center"/>
          </w:tcPr>
          <w:p>
            <w:pPr>
              <w:widowControl/>
              <w:jc w:val="center"/>
              <w:rPr>
                <w:rFonts w:ascii="宋体" w:hAnsi="宋体" w:cs="宋体"/>
                <w:kern w:val="0"/>
                <w:sz w:val="20"/>
                <w:szCs w:val="20"/>
              </w:rPr>
            </w:pPr>
          </w:p>
        </w:tc>
        <w:tc>
          <w:tcPr>
            <w:tcW w:w="1188" w:type="dxa"/>
            <w:vMerge w:val="continue"/>
            <w:noWrap w:val="0"/>
            <w:vAlign w:val="center"/>
          </w:tcPr>
          <w:p>
            <w:pPr>
              <w:widowControl/>
              <w:jc w:val="center"/>
              <w:rPr>
                <w:rFonts w:ascii="宋体" w:hAnsi="宋体" w:cs="宋体"/>
                <w:kern w:val="0"/>
                <w:sz w:val="20"/>
                <w:szCs w:val="20"/>
              </w:rPr>
            </w:pPr>
          </w:p>
        </w:tc>
        <w:tc>
          <w:tcPr>
            <w:tcW w:w="841" w:type="dxa"/>
            <w:tcBorders>
              <w:right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377" w:type="dxa"/>
            <w:tcBorders>
              <w:top w:val="single" w:color="auto" w:sz="6" w:space="0"/>
              <w:left w:val="single" w:color="auto" w:sz="12" w:space="0"/>
              <w:bottom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357" w:type="dxa"/>
            <w:tcBorders>
              <w:top w:val="single" w:color="auto" w:sz="6" w:space="0"/>
              <w:bottom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614" w:type="dxa"/>
            <w:tcBorders>
              <w:top w:val="single" w:color="auto" w:sz="6" w:space="0"/>
              <w:bottom w:val="single" w:color="auto" w:sz="6" w:space="0"/>
              <w:right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41" w:type="dxa"/>
            <w:tcBorders>
              <w:left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84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84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8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8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84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57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36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56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42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18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前五年度</w:t>
            </w:r>
          </w:p>
        </w:tc>
        <w:tc>
          <w:tcPr>
            <w:tcW w:w="841" w:type="dxa"/>
            <w:tcBorders>
              <w:right w:val="single" w:color="auto" w:sz="12" w:space="0"/>
            </w:tcBorders>
            <w:noWrap w:val="0"/>
            <w:vAlign w:val="center"/>
          </w:tcPr>
          <w:p>
            <w:pPr>
              <w:widowControl/>
              <w:jc w:val="center"/>
              <w:rPr>
                <w:rFonts w:ascii="宋体" w:hAnsi="宋体" w:cs="宋体"/>
                <w:kern w:val="0"/>
                <w:sz w:val="20"/>
                <w:szCs w:val="20"/>
              </w:rPr>
            </w:pPr>
          </w:p>
        </w:tc>
        <w:tc>
          <w:tcPr>
            <w:tcW w:w="377" w:type="dxa"/>
            <w:tcBorders>
              <w:top w:val="single" w:color="auto" w:sz="6" w:space="0"/>
              <w:left w:val="single" w:color="auto" w:sz="12" w:space="0"/>
              <w:bottom w:val="single" w:color="auto" w:sz="6" w:space="0"/>
            </w:tcBorders>
            <w:noWrap w:val="0"/>
            <w:vAlign w:val="center"/>
          </w:tcPr>
          <w:p>
            <w:pPr>
              <w:widowControl/>
              <w:jc w:val="center"/>
              <w:rPr>
                <w:rFonts w:ascii="宋体" w:hAnsi="宋体" w:cs="宋体"/>
                <w:kern w:val="0"/>
                <w:sz w:val="20"/>
                <w:szCs w:val="20"/>
              </w:rPr>
            </w:pPr>
          </w:p>
        </w:tc>
        <w:tc>
          <w:tcPr>
            <w:tcW w:w="357" w:type="dxa"/>
            <w:tcBorders>
              <w:top w:val="single" w:color="auto" w:sz="6" w:space="0"/>
              <w:bottom w:val="single" w:color="auto" w:sz="6" w:space="0"/>
            </w:tcBorders>
            <w:noWrap w:val="0"/>
            <w:vAlign w:val="center"/>
          </w:tcPr>
          <w:p>
            <w:pPr>
              <w:widowControl/>
              <w:jc w:val="center"/>
              <w:rPr>
                <w:rFonts w:ascii="宋体" w:hAnsi="宋体" w:cs="宋体"/>
                <w:kern w:val="0"/>
                <w:sz w:val="20"/>
                <w:szCs w:val="20"/>
              </w:rPr>
            </w:pPr>
          </w:p>
        </w:tc>
        <w:tc>
          <w:tcPr>
            <w:tcW w:w="614" w:type="dxa"/>
            <w:tcBorders>
              <w:top w:val="single" w:color="auto" w:sz="6" w:space="0"/>
              <w:bottom w:val="single" w:color="auto" w:sz="6" w:space="0"/>
              <w:right w:val="single" w:color="auto" w:sz="12" w:space="0"/>
            </w:tcBorders>
            <w:noWrap w:val="0"/>
            <w:vAlign w:val="center"/>
          </w:tcPr>
          <w:p>
            <w:pPr>
              <w:widowControl/>
              <w:jc w:val="center"/>
              <w:rPr>
                <w:rFonts w:ascii="宋体" w:hAnsi="宋体" w:cs="宋体"/>
                <w:kern w:val="0"/>
                <w:sz w:val="18"/>
                <w:szCs w:val="18"/>
              </w:rPr>
            </w:pPr>
          </w:p>
        </w:tc>
        <w:tc>
          <w:tcPr>
            <w:tcW w:w="841" w:type="dxa"/>
            <w:tcBorders>
              <w:left w:val="single" w:color="auto" w:sz="12" w:space="0"/>
            </w:tcBorders>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18"/>
                <w:szCs w:val="18"/>
              </w:rPr>
            </w:pPr>
          </w:p>
        </w:tc>
        <w:tc>
          <w:tcPr>
            <w:tcW w:w="577" w:type="dxa"/>
            <w:noWrap w:val="0"/>
            <w:vAlign w:val="center"/>
          </w:tcPr>
          <w:p>
            <w:pPr>
              <w:widowControl/>
              <w:jc w:val="center"/>
              <w:rPr>
                <w:rFonts w:ascii="宋体" w:hAnsi="宋体" w:cs="宋体"/>
                <w:kern w:val="0"/>
                <w:sz w:val="18"/>
                <w:szCs w:val="18"/>
              </w:rPr>
            </w:pPr>
          </w:p>
        </w:tc>
        <w:tc>
          <w:tcPr>
            <w:tcW w:w="369" w:type="dxa"/>
            <w:noWrap w:val="0"/>
            <w:vAlign w:val="center"/>
          </w:tcPr>
          <w:p>
            <w:pPr>
              <w:widowControl/>
              <w:jc w:val="center"/>
              <w:rPr>
                <w:rFonts w:ascii="宋体" w:hAnsi="宋体" w:cs="宋体"/>
                <w:kern w:val="0"/>
                <w:sz w:val="20"/>
                <w:szCs w:val="20"/>
              </w:rPr>
            </w:pPr>
          </w:p>
        </w:tc>
        <w:tc>
          <w:tcPr>
            <w:tcW w:w="569" w:type="dxa"/>
            <w:noWrap w:val="0"/>
            <w:vAlign w:val="center"/>
          </w:tcPr>
          <w:p>
            <w:pPr>
              <w:widowControl/>
              <w:jc w:val="center"/>
              <w:rPr>
                <w:rFonts w:ascii="宋体" w:hAnsi="宋体" w:cs="宋体"/>
                <w:kern w:val="0"/>
                <w:sz w:val="20"/>
                <w:szCs w:val="20"/>
              </w:rPr>
            </w:pPr>
          </w:p>
        </w:tc>
        <w:tc>
          <w:tcPr>
            <w:tcW w:w="428"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18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前四年度</w:t>
            </w:r>
          </w:p>
        </w:tc>
        <w:tc>
          <w:tcPr>
            <w:tcW w:w="841" w:type="dxa"/>
            <w:tcBorders>
              <w:right w:val="single" w:color="auto" w:sz="12" w:space="0"/>
            </w:tcBorders>
            <w:noWrap w:val="0"/>
            <w:vAlign w:val="center"/>
          </w:tcPr>
          <w:p>
            <w:pPr>
              <w:widowControl/>
              <w:jc w:val="center"/>
              <w:rPr>
                <w:rFonts w:ascii="宋体" w:hAnsi="宋体" w:cs="宋体"/>
                <w:kern w:val="0"/>
                <w:sz w:val="20"/>
                <w:szCs w:val="20"/>
              </w:rPr>
            </w:pPr>
          </w:p>
        </w:tc>
        <w:tc>
          <w:tcPr>
            <w:tcW w:w="377" w:type="dxa"/>
            <w:tcBorders>
              <w:top w:val="single" w:color="auto" w:sz="6" w:space="0"/>
              <w:left w:val="single" w:color="auto" w:sz="12" w:space="0"/>
              <w:bottom w:val="single" w:color="auto" w:sz="6" w:space="0"/>
            </w:tcBorders>
            <w:noWrap w:val="0"/>
            <w:vAlign w:val="center"/>
          </w:tcPr>
          <w:p>
            <w:pPr>
              <w:widowControl/>
              <w:jc w:val="center"/>
              <w:rPr>
                <w:rFonts w:ascii="宋体" w:hAnsi="宋体" w:cs="宋体"/>
                <w:kern w:val="0"/>
                <w:sz w:val="20"/>
                <w:szCs w:val="20"/>
              </w:rPr>
            </w:pPr>
          </w:p>
        </w:tc>
        <w:tc>
          <w:tcPr>
            <w:tcW w:w="357" w:type="dxa"/>
            <w:tcBorders>
              <w:top w:val="single" w:color="auto" w:sz="6" w:space="0"/>
              <w:bottom w:val="single" w:color="auto" w:sz="6" w:space="0"/>
            </w:tcBorders>
            <w:noWrap w:val="0"/>
            <w:vAlign w:val="center"/>
          </w:tcPr>
          <w:p>
            <w:pPr>
              <w:widowControl/>
              <w:jc w:val="center"/>
              <w:rPr>
                <w:rFonts w:ascii="宋体" w:hAnsi="宋体" w:cs="宋体"/>
                <w:kern w:val="0"/>
                <w:sz w:val="20"/>
                <w:szCs w:val="20"/>
              </w:rPr>
            </w:pPr>
          </w:p>
        </w:tc>
        <w:tc>
          <w:tcPr>
            <w:tcW w:w="614" w:type="dxa"/>
            <w:tcBorders>
              <w:top w:val="single" w:color="auto" w:sz="6" w:space="0"/>
              <w:bottom w:val="single" w:color="auto" w:sz="6" w:space="0"/>
              <w:right w:val="single" w:color="auto" w:sz="12" w:space="0"/>
            </w:tcBorders>
            <w:noWrap w:val="0"/>
            <w:vAlign w:val="center"/>
          </w:tcPr>
          <w:p>
            <w:pPr>
              <w:widowControl/>
              <w:jc w:val="center"/>
              <w:rPr>
                <w:rFonts w:ascii="宋体" w:hAnsi="宋体" w:cs="宋体"/>
                <w:kern w:val="0"/>
                <w:sz w:val="20"/>
                <w:szCs w:val="20"/>
              </w:rPr>
            </w:pPr>
          </w:p>
        </w:tc>
        <w:tc>
          <w:tcPr>
            <w:tcW w:w="841" w:type="dxa"/>
            <w:tcBorders>
              <w:left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20"/>
                <w:szCs w:val="20"/>
              </w:rPr>
            </w:pPr>
          </w:p>
        </w:tc>
        <w:tc>
          <w:tcPr>
            <w:tcW w:w="577" w:type="dxa"/>
            <w:noWrap w:val="0"/>
            <w:vAlign w:val="center"/>
          </w:tcPr>
          <w:p>
            <w:pPr>
              <w:widowControl/>
              <w:jc w:val="center"/>
              <w:rPr>
                <w:rFonts w:ascii="宋体" w:hAnsi="宋体" w:cs="宋体"/>
                <w:kern w:val="0"/>
                <w:sz w:val="20"/>
                <w:szCs w:val="20"/>
              </w:rPr>
            </w:pPr>
          </w:p>
        </w:tc>
        <w:tc>
          <w:tcPr>
            <w:tcW w:w="369" w:type="dxa"/>
            <w:noWrap w:val="0"/>
            <w:vAlign w:val="center"/>
          </w:tcPr>
          <w:p>
            <w:pPr>
              <w:widowControl/>
              <w:jc w:val="center"/>
              <w:rPr>
                <w:rFonts w:ascii="宋体" w:hAnsi="宋体" w:cs="宋体"/>
                <w:kern w:val="0"/>
                <w:sz w:val="20"/>
                <w:szCs w:val="20"/>
              </w:rPr>
            </w:pPr>
          </w:p>
        </w:tc>
        <w:tc>
          <w:tcPr>
            <w:tcW w:w="569" w:type="dxa"/>
            <w:noWrap w:val="0"/>
            <w:vAlign w:val="center"/>
          </w:tcPr>
          <w:p>
            <w:pPr>
              <w:widowControl/>
              <w:jc w:val="center"/>
              <w:rPr>
                <w:rFonts w:ascii="宋体" w:hAnsi="宋体" w:cs="宋体"/>
                <w:kern w:val="0"/>
                <w:sz w:val="20"/>
                <w:szCs w:val="20"/>
              </w:rPr>
            </w:pPr>
          </w:p>
        </w:tc>
        <w:tc>
          <w:tcPr>
            <w:tcW w:w="428"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18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前三年度</w:t>
            </w:r>
          </w:p>
        </w:tc>
        <w:tc>
          <w:tcPr>
            <w:tcW w:w="841" w:type="dxa"/>
            <w:tcBorders>
              <w:right w:val="single" w:color="auto" w:sz="12" w:space="0"/>
            </w:tcBorders>
            <w:noWrap w:val="0"/>
            <w:vAlign w:val="center"/>
          </w:tcPr>
          <w:p>
            <w:pPr>
              <w:widowControl/>
              <w:jc w:val="center"/>
              <w:rPr>
                <w:rFonts w:ascii="宋体" w:hAnsi="宋体" w:cs="宋体"/>
                <w:kern w:val="0"/>
                <w:sz w:val="20"/>
                <w:szCs w:val="20"/>
              </w:rPr>
            </w:pPr>
          </w:p>
        </w:tc>
        <w:tc>
          <w:tcPr>
            <w:tcW w:w="377" w:type="dxa"/>
            <w:tcBorders>
              <w:top w:val="single" w:color="auto" w:sz="6" w:space="0"/>
              <w:left w:val="single" w:color="auto" w:sz="12" w:space="0"/>
              <w:bottom w:val="single" w:color="auto" w:sz="6" w:space="0"/>
            </w:tcBorders>
            <w:noWrap w:val="0"/>
            <w:vAlign w:val="center"/>
          </w:tcPr>
          <w:p>
            <w:pPr>
              <w:widowControl/>
              <w:jc w:val="center"/>
              <w:rPr>
                <w:rFonts w:ascii="宋体" w:hAnsi="宋体" w:cs="宋体"/>
                <w:kern w:val="0"/>
                <w:sz w:val="20"/>
                <w:szCs w:val="20"/>
              </w:rPr>
            </w:pPr>
          </w:p>
        </w:tc>
        <w:tc>
          <w:tcPr>
            <w:tcW w:w="357" w:type="dxa"/>
            <w:tcBorders>
              <w:top w:val="single" w:color="auto" w:sz="6" w:space="0"/>
              <w:bottom w:val="single" w:color="auto" w:sz="6" w:space="0"/>
            </w:tcBorders>
            <w:noWrap w:val="0"/>
            <w:vAlign w:val="center"/>
          </w:tcPr>
          <w:p>
            <w:pPr>
              <w:widowControl/>
              <w:jc w:val="center"/>
              <w:rPr>
                <w:rFonts w:ascii="宋体" w:hAnsi="宋体" w:cs="宋体"/>
                <w:kern w:val="0"/>
                <w:sz w:val="20"/>
                <w:szCs w:val="20"/>
              </w:rPr>
            </w:pPr>
          </w:p>
        </w:tc>
        <w:tc>
          <w:tcPr>
            <w:tcW w:w="614" w:type="dxa"/>
            <w:tcBorders>
              <w:top w:val="single" w:color="auto" w:sz="6" w:space="0"/>
              <w:bottom w:val="single" w:color="auto" w:sz="6" w:space="0"/>
              <w:right w:val="single" w:color="auto" w:sz="12" w:space="0"/>
            </w:tcBorders>
            <w:noWrap w:val="0"/>
            <w:vAlign w:val="center"/>
          </w:tcPr>
          <w:p>
            <w:pPr>
              <w:widowControl/>
              <w:jc w:val="center"/>
              <w:rPr>
                <w:rFonts w:ascii="宋体" w:hAnsi="宋体" w:cs="宋体"/>
                <w:kern w:val="0"/>
                <w:sz w:val="20"/>
                <w:szCs w:val="20"/>
              </w:rPr>
            </w:pPr>
          </w:p>
        </w:tc>
        <w:tc>
          <w:tcPr>
            <w:tcW w:w="841" w:type="dxa"/>
            <w:tcBorders>
              <w:left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20"/>
                <w:szCs w:val="20"/>
              </w:rPr>
            </w:pPr>
          </w:p>
        </w:tc>
        <w:tc>
          <w:tcPr>
            <w:tcW w:w="577" w:type="dxa"/>
            <w:noWrap w:val="0"/>
            <w:vAlign w:val="center"/>
          </w:tcPr>
          <w:p>
            <w:pPr>
              <w:widowControl/>
              <w:jc w:val="center"/>
              <w:rPr>
                <w:rFonts w:ascii="宋体" w:hAnsi="宋体" w:cs="宋体"/>
                <w:kern w:val="0"/>
                <w:sz w:val="20"/>
                <w:szCs w:val="20"/>
              </w:rPr>
            </w:pPr>
          </w:p>
        </w:tc>
        <w:tc>
          <w:tcPr>
            <w:tcW w:w="369" w:type="dxa"/>
            <w:noWrap w:val="0"/>
            <w:vAlign w:val="center"/>
          </w:tcPr>
          <w:p>
            <w:pPr>
              <w:widowControl/>
              <w:jc w:val="center"/>
              <w:rPr>
                <w:rFonts w:ascii="宋体" w:hAnsi="宋体" w:cs="宋体"/>
                <w:kern w:val="0"/>
                <w:sz w:val="20"/>
                <w:szCs w:val="20"/>
              </w:rPr>
            </w:pPr>
          </w:p>
        </w:tc>
        <w:tc>
          <w:tcPr>
            <w:tcW w:w="569" w:type="dxa"/>
            <w:noWrap w:val="0"/>
            <w:vAlign w:val="center"/>
          </w:tcPr>
          <w:p>
            <w:pPr>
              <w:widowControl/>
              <w:jc w:val="center"/>
              <w:rPr>
                <w:rFonts w:ascii="宋体" w:hAnsi="宋体" w:cs="宋体"/>
                <w:kern w:val="0"/>
                <w:sz w:val="20"/>
                <w:szCs w:val="20"/>
              </w:rPr>
            </w:pPr>
          </w:p>
        </w:tc>
        <w:tc>
          <w:tcPr>
            <w:tcW w:w="428"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18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前二年度</w:t>
            </w:r>
          </w:p>
        </w:tc>
        <w:tc>
          <w:tcPr>
            <w:tcW w:w="841" w:type="dxa"/>
            <w:tcBorders>
              <w:right w:val="single" w:color="auto" w:sz="12" w:space="0"/>
            </w:tcBorders>
            <w:noWrap w:val="0"/>
            <w:vAlign w:val="center"/>
          </w:tcPr>
          <w:p>
            <w:pPr>
              <w:widowControl/>
              <w:jc w:val="center"/>
              <w:rPr>
                <w:rFonts w:ascii="宋体" w:hAnsi="宋体" w:cs="宋体"/>
                <w:kern w:val="0"/>
                <w:sz w:val="20"/>
                <w:szCs w:val="20"/>
              </w:rPr>
            </w:pPr>
          </w:p>
        </w:tc>
        <w:tc>
          <w:tcPr>
            <w:tcW w:w="377" w:type="dxa"/>
            <w:tcBorders>
              <w:top w:val="single" w:color="auto" w:sz="6" w:space="0"/>
              <w:left w:val="single" w:color="auto" w:sz="12" w:space="0"/>
              <w:bottom w:val="single" w:color="auto" w:sz="6" w:space="0"/>
            </w:tcBorders>
            <w:noWrap w:val="0"/>
            <w:vAlign w:val="center"/>
          </w:tcPr>
          <w:p>
            <w:pPr>
              <w:widowControl/>
              <w:jc w:val="center"/>
              <w:rPr>
                <w:rFonts w:ascii="宋体" w:hAnsi="宋体" w:cs="宋体"/>
                <w:kern w:val="0"/>
                <w:sz w:val="20"/>
                <w:szCs w:val="20"/>
              </w:rPr>
            </w:pPr>
          </w:p>
        </w:tc>
        <w:tc>
          <w:tcPr>
            <w:tcW w:w="357" w:type="dxa"/>
            <w:tcBorders>
              <w:top w:val="single" w:color="auto" w:sz="6" w:space="0"/>
              <w:bottom w:val="single" w:color="auto" w:sz="6" w:space="0"/>
            </w:tcBorders>
            <w:noWrap w:val="0"/>
            <w:vAlign w:val="center"/>
          </w:tcPr>
          <w:p>
            <w:pPr>
              <w:widowControl/>
              <w:jc w:val="center"/>
              <w:rPr>
                <w:rFonts w:ascii="宋体" w:hAnsi="宋体" w:cs="宋体"/>
                <w:kern w:val="0"/>
                <w:sz w:val="20"/>
                <w:szCs w:val="20"/>
              </w:rPr>
            </w:pPr>
          </w:p>
        </w:tc>
        <w:tc>
          <w:tcPr>
            <w:tcW w:w="614" w:type="dxa"/>
            <w:tcBorders>
              <w:top w:val="single" w:color="auto" w:sz="6" w:space="0"/>
              <w:bottom w:val="single" w:color="auto" w:sz="6" w:space="0"/>
              <w:right w:val="single" w:color="auto" w:sz="12" w:space="0"/>
            </w:tcBorders>
            <w:noWrap w:val="0"/>
            <w:vAlign w:val="center"/>
          </w:tcPr>
          <w:p>
            <w:pPr>
              <w:widowControl/>
              <w:jc w:val="center"/>
              <w:rPr>
                <w:rFonts w:ascii="宋体" w:hAnsi="宋体" w:cs="宋体"/>
                <w:kern w:val="0"/>
                <w:sz w:val="20"/>
                <w:szCs w:val="20"/>
              </w:rPr>
            </w:pPr>
          </w:p>
        </w:tc>
        <w:tc>
          <w:tcPr>
            <w:tcW w:w="841" w:type="dxa"/>
            <w:tcBorders>
              <w:left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noWrap w:val="0"/>
            <w:vAlign w:val="center"/>
          </w:tcPr>
          <w:p>
            <w:pPr>
              <w:widowControl/>
              <w:jc w:val="center"/>
              <w:rPr>
                <w:rFonts w:ascii="宋体" w:hAnsi="宋体" w:cs="宋体"/>
                <w:kern w:val="0"/>
                <w:sz w:val="20"/>
                <w:szCs w:val="20"/>
              </w:rPr>
            </w:pPr>
          </w:p>
        </w:tc>
        <w:tc>
          <w:tcPr>
            <w:tcW w:w="840" w:type="dxa"/>
            <w:noWrap w:val="0"/>
            <w:vAlign w:val="center"/>
          </w:tcPr>
          <w:p>
            <w:pPr>
              <w:widowControl/>
              <w:jc w:val="center"/>
              <w:rPr>
                <w:rFonts w:ascii="宋体" w:hAnsi="宋体" w:cs="宋体"/>
                <w:kern w:val="0"/>
                <w:sz w:val="20"/>
                <w:szCs w:val="20"/>
              </w:rPr>
            </w:pPr>
          </w:p>
        </w:tc>
        <w:tc>
          <w:tcPr>
            <w:tcW w:w="841" w:type="dxa"/>
            <w:noWrap w:val="0"/>
            <w:vAlign w:val="center"/>
          </w:tcPr>
          <w:p>
            <w:pPr>
              <w:widowControl/>
              <w:jc w:val="center"/>
              <w:rPr>
                <w:rFonts w:ascii="宋体" w:hAnsi="宋体" w:cs="宋体"/>
                <w:kern w:val="0"/>
                <w:sz w:val="20"/>
                <w:szCs w:val="20"/>
              </w:rPr>
            </w:pPr>
          </w:p>
        </w:tc>
        <w:tc>
          <w:tcPr>
            <w:tcW w:w="577" w:type="dxa"/>
            <w:noWrap w:val="0"/>
            <w:vAlign w:val="center"/>
          </w:tcPr>
          <w:p>
            <w:pPr>
              <w:widowControl/>
              <w:jc w:val="center"/>
              <w:rPr>
                <w:rFonts w:ascii="宋体" w:hAnsi="宋体" w:cs="宋体"/>
                <w:kern w:val="0"/>
                <w:sz w:val="20"/>
                <w:szCs w:val="20"/>
              </w:rPr>
            </w:pPr>
          </w:p>
        </w:tc>
        <w:tc>
          <w:tcPr>
            <w:tcW w:w="369" w:type="dxa"/>
            <w:noWrap w:val="0"/>
            <w:vAlign w:val="center"/>
          </w:tcPr>
          <w:p>
            <w:pPr>
              <w:widowControl/>
              <w:jc w:val="center"/>
              <w:rPr>
                <w:rFonts w:ascii="宋体" w:hAnsi="宋体" w:cs="宋体"/>
                <w:kern w:val="0"/>
                <w:sz w:val="20"/>
                <w:szCs w:val="20"/>
              </w:rPr>
            </w:pPr>
          </w:p>
        </w:tc>
        <w:tc>
          <w:tcPr>
            <w:tcW w:w="569" w:type="dxa"/>
            <w:noWrap w:val="0"/>
            <w:vAlign w:val="center"/>
          </w:tcPr>
          <w:p>
            <w:pPr>
              <w:widowControl/>
              <w:jc w:val="center"/>
              <w:rPr>
                <w:rFonts w:ascii="宋体" w:hAnsi="宋体" w:cs="宋体"/>
                <w:kern w:val="0"/>
                <w:sz w:val="20"/>
                <w:szCs w:val="20"/>
              </w:rPr>
            </w:pPr>
          </w:p>
        </w:tc>
        <w:tc>
          <w:tcPr>
            <w:tcW w:w="428"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1188"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前一年度</w:t>
            </w:r>
          </w:p>
        </w:tc>
        <w:tc>
          <w:tcPr>
            <w:tcW w:w="841" w:type="dxa"/>
            <w:tcBorders>
              <w:right w:val="single" w:color="auto" w:sz="12" w:space="0"/>
            </w:tcBorders>
            <w:noWrap w:val="0"/>
            <w:vAlign w:val="center"/>
          </w:tcPr>
          <w:p>
            <w:pPr>
              <w:widowControl/>
              <w:jc w:val="center"/>
              <w:rPr>
                <w:rFonts w:ascii="宋体" w:hAnsi="宋体" w:cs="宋体"/>
                <w:kern w:val="0"/>
                <w:sz w:val="20"/>
                <w:szCs w:val="20"/>
              </w:rPr>
            </w:pPr>
          </w:p>
        </w:tc>
        <w:tc>
          <w:tcPr>
            <w:tcW w:w="377" w:type="dxa"/>
            <w:tcBorders>
              <w:top w:val="single" w:color="auto" w:sz="6" w:space="0"/>
              <w:left w:val="single" w:color="auto" w:sz="12" w:space="0"/>
              <w:bottom w:val="single" w:color="auto" w:sz="6" w:space="0"/>
            </w:tcBorders>
            <w:noWrap w:val="0"/>
            <w:vAlign w:val="center"/>
          </w:tcPr>
          <w:p>
            <w:pPr>
              <w:widowControl/>
              <w:jc w:val="center"/>
              <w:rPr>
                <w:rFonts w:ascii="宋体" w:hAnsi="宋体" w:cs="宋体"/>
                <w:kern w:val="0"/>
                <w:sz w:val="20"/>
                <w:szCs w:val="20"/>
              </w:rPr>
            </w:pPr>
          </w:p>
        </w:tc>
        <w:tc>
          <w:tcPr>
            <w:tcW w:w="357" w:type="dxa"/>
            <w:tcBorders>
              <w:top w:val="single" w:color="auto" w:sz="6" w:space="0"/>
              <w:bottom w:val="single" w:color="auto" w:sz="6" w:space="0"/>
            </w:tcBorders>
            <w:noWrap w:val="0"/>
            <w:vAlign w:val="center"/>
          </w:tcPr>
          <w:p>
            <w:pPr>
              <w:widowControl/>
              <w:jc w:val="center"/>
              <w:rPr>
                <w:rFonts w:ascii="宋体" w:hAnsi="宋体" w:cs="宋体"/>
                <w:kern w:val="0"/>
                <w:sz w:val="22"/>
                <w:szCs w:val="22"/>
              </w:rPr>
            </w:pPr>
          </w:p>
        </w:tc>
        <w:tc>
          <w:tcPr>
            <w:tcW w:w="614" w:type="dxa"/>
            <w:tcBorders>
              <w:top w:val="single" w:color="auto" w:sz="6" w:space="0"/>
              <w:bottom w:val="single" w:color="auto" w:sz="6" w:space="0"/>
              <w:right w:val="single" w:color="auto" w:sz="12" w:space="0"/>
            </w:tcBorders>
            <w:noWrap w:val="0"/>
            <w:vAlign w:val="center"/>
          </w:tcPr>
          <w:p>
            <w:pPr>
              <w:widowControl/>
              <w:jc w:val="center"/>
              <w:rPr>
                <w:rFonts w:ascii="宋体" w:hAnsi="宋体" w:cs="宋体"/>
                <w:kern w:val="0"/>
                <w:sz w:val="22"/>
                <w:szCs w:val="22"/>
              </w:rPr>
            </w:pPr>
          </w:p>
        </w:tc>
        <w:tc>
          <w:tcPr>
            <w:tcW w:w="841" w:type="dxa"/>
            <w:tcBorders>
              <w:left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noWrap w:val="0"/>
            <w:vAlign w:val="center"/>
          </w:tcPr>
          <w:p>
            <w:pPr>
              <w:widowControl/>
              <w:jc w:val="center"/>
              <w:rPr>
                <w:rFonts w:ascii="宋体" w:hAnsi="宋体" w:cs="宋体"/>
                <w:kern w:val="0"/>
                <w:sz w:val="22"/>
                <w:szCs w:val="22"/>
              </w:rPr>
            </w:pPr>
          </w:p>
        </w:tc>
        <w:tc>
          <w:tcPr>
            <w:tcW w:w="841" w:type="dxa"/>
            <w:noWrap w:val="0"/>
            <w:vAlign w:val="center"/>
          </w:tcPr>
          <w:p>
            <w:pPr>
              <w:widowControl/>
              <w:jc w:val="center"/>
              <w:rPr>
                <w:rFonts w:ascii="宋体" w:hAnsi="宋体" w:cs="宋体"/>
                <w:kern w:val="0"/>
                <w:sz w:val="22"/>
                <w:szCs w:val="22"/>
              </w:rPr>
            </w:pPr>
          </w:p>
        </w:tc>
        <w:tc>
          <w:tcPr>
            <w:tcW w:w="577" w:type="dxa"/>
            <w:noWrap w:val="0"/>
            <w:vAlign w:val="center"/>
          </w:tcPr>
          <w:p>
            <w:pPr>
              <w:widowControl/>
              <w:jc w:val="center"/>
              <w:rPr>
                <w:rFonts w:ascii="宋体" w:hAnsi="宋体" w:cs="宋体"/>
                <w:kern w:val="0"/>
                <w:sz w:val="22"/>
                <w:szCs w:val="22"/>
              </w:rPr>
            </w:pPr>
          </w:p>
        </w:tc>
        <w:tc>
          <w:tcPr>
            <w:tcW w:w="369" w:type="dxa"/>
            <w:noWrap w:val="0"/>
            <w:vAlign w:val="center"/>
          </w:tcPr>
          <w:p>
            <w:pPr>
              <w:widowControl/>
              <w:jc w:val="center"/>
              <w:rPr>
                <w:rFonts w:ascii="宋体" w:hAnsi="宋体" w:cs="宋体"/>
                <w:kern w:val="0"/>
                <w:sz w:val="22"/>
                <w:szCs w:val="22"/>
              </w:rPr>
            </w:pPr>
          </w:p>
        </w:tc>
        <w:tc>
          <w:tcPr>
            <w:tcW w:w="569" w:type="dxa"/>
            <w:noWrap w:val="0"/>
            <w:vAlign w:val="center"/>
          </w:tcPr>
          <w:p>
            <w:pPr>
              <w:widowControl/>
              <w:jc w:val="center"/>
              <w:rPr>
                <w:rFonts w:ascii="宋体" w:hAnsi="宋体" w:cs="宋体"/>
                <w:kern w:val="0"/>
                <w:sz w:val="22"/>
                <w:szCs w:val="22"/>
              </w:rPr>
            </w:pPr>
          </w:p>
        </w:tc>
        <w:tc>
          <w:tcPr>
            <w:tcW w:w="428" w:type="dxa"/>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tcBorders>
              <w:bottom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1188" w:type="dxa"/>
            <w:tcBorders>
              <w:bottom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    年</w:t>
            </w:r>
          </w:p>
        </w:tc>
        <w:tc>
          <w:tcPr>
            <w:tcW w:w="841" w:type="dxa"/>
            <w:tcBorders>
              <w:bottom w:val="single" w:color="auto" w:sz="12" w:space="0"/>
              <w:right w:val="single" w:color="auto" w:sz="12" w:space="0"/>
            </w:tcBorders>
            <w:noWrap w:val="0"/>
            <w:vAlign w:val="center"/>
          </w:tcPr>
          <w:p>
            <w:pPr>
              <w:widowControl/>
              <w:jc w:val="center"/>
              <w:rPr>
                <w:rFonts w:ascii="宋体" w:hAnsi="宋体" w:cs="宋体"/>
                <w:kern w:val="0"/>
                <w:sz w:val="20"/>
                <w:szCs w:val="20"/>
              </w:rPr>
            </w:pPr>
          </w:p>
        </w:tc>
        <w:tc>
          <w:tcPr>
            <w:tcW w:w="377" w:type="dxa"/>
            <w:tcBorders>
              <w:top w:val="single" w:color="auto" w:sz="6" w:space="0"/>
              <w:left w:val="single" w:color="auto" w:sz="12" w:space="0"/>
              <w:bottom w:val="single" w:color="auto" w:sz="12" w:space="0"/>
            </w:tcBorders>
            <w:noWrap w:val="0"/>
            <w:vAlign w:val="center"/>
          </w:tcPr>
          <w:p>
            <w:pPr>
              <w:widowControl/>
              <w:jc w:val="center"/>
              <w:rPr>
                <w:rFonts w:ascii="宋体" w:hAnsi="宋体" w:cs="宋体"/>
                <w:kern w:val="0"/>
                <w:sz w:val="20"/>
                <w:szCs w:val="20"/>
              </w:rPr>
            </w:pPr>
          </w:p>
        </w:tc>
        <w:tc>
          <w:tcPr>
            <w:tcW w:w="357" w:type="dxa"/>
            <w:tcBorders>
              <w:top w:val="single" w:color="auto" w:sz="6" w:space="0"/>
              <w:bottom w:val="single" w:color="auto" w:sz="12" w:space="0"/>
            </w:tcBorders>
            <w:noWrap w:val="0"/>
            <w:vAlign w:val="center"/>
          </w:tcPr>
          <w:p>
            <w:pPr>
              <w:widowControl/>
              <w:jc w:val="center"/>
              <w:rPr>
                <w:rFonts w:ascii="宋体" w:hAnsi="宋体" w:cs="宋体"/>
                <w:kern w:val="0"/>
                <w:sz w:val="22"/>
                <w:szCs w:val="22"/>
              </w:rPr>
            </w:pPr>
          </w:p>
        </w:tc>
        <w:tc>
          <w:tcPr>
            <w:tcW w:w="614" w:type="dxa"/>
            <w:tcBorders>
              <w:top w:val="single" w:color="auto" w:sz="6" w:space="0"/>
              <w:bottom w:val="single" w:color="auto" w:sz="12" w:space="0"/>
              <w:right w:val="single" w:color="auto" w:sz="12" w:space="0"/>
            </w:tcBorders>
            <w:noWrap w:val="0"/>
            <w:vAlign w:val="center"/>
          </w:tcPr>
          <w:p>
            <w:pPr>
              <w:widowControl/>
              <w:jc w:val="center"/>
              <w:rPr>
                <w:rFonts w:ascii="宋体" w:hAnsi="宋体" w:cs="宋体"/>
                <w:kern w:val="0"/>
                <w:sz w:val="22"/>
                <w:szCs w:val="22"/>
              </w:rPr>
            </w:pPr>
          </w:p>
        </w:tc>
        <w:tc>
          <w:tcPr>
            <w:tcW w:w="841" w:type="dxa"/>
            <w:tcBorders>
              <w:left w:val="single" w:color="auto" w:sz="12" w:space="0"/>
              <w:bottom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tcBorders>
              <w:bottom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tcBorders>
              <w:bottom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tcBorders>
              <w:bottom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tcBorders>
              <w:bottom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tcBorders>
              <w:bottom w:val="single" w:color="auto" w:sz="12" w:space="0"/>
            </w:tcBorders>
            <w:noWrap w:val="0"/>
            <w:vAlign w:val="center"/>
          </w:tcPr>
          <w:p>
            <w:pPr>
              <w:widowControl/>
              <w:jc w:val="center"/>
              <w:rPr>
                <w:rFonts w:ascii="宋体" w:hAnsi="宋体" w:cs="宋体"/>
                <w:kern w:val="0"/>
                <w:sz w:val="22"/>
                <w:szCs w:val="22"/>
              </w:rPr>
            </w:pPr>
          </w:p>
        </w:tc>
        <w:tc>
          <w:tcPr>
            <w:tcW w:w="577" w:type="dxa"/>
            <w:tcBorders>
              <w:bottom w:val="single" w:color="auto" w:sz="12" w:space="0"/>
            </w:tcBorders>
            <w:noWrap w:val="0"/>
            <w:vAlign w:val="center"/>
          </w:tcPr>
          <w:p>
            <w:pPr>
              <w:widowControl/>
              <w:jc w:val="center"/>
              <w:rPr>
                <w:rFonts w:ascii="宋体" w:hAnsi="宋体" w:cs="宋体"/>
                <w:kern w:val="0"/>
                <w:sz w:val="22"/>
                <w:szCs w:val="22"/>
              </w:rPr>
            </w:pPr>
          </w:p>
        </w:tc>
        <w:tc>
          <w:tcPr>
            <w:tcW w:w="369" w:type="dxa"/>
            <w:tcBorders>
              <w:bottom w:val="single" w:color="auto" w:sz="12" w:space="0"/>
            </w:tcBorders>
            <w:noWrap w:val="0"/>
            <w:vAlign w:val="center"/>
          </w:tcPr>
          <w:p>
            <w:pPr>
              <w:widowControl/>
              <w:jc w:val="center"/>
              <w:rPr>
                <w:rFonts w:ascii="宋体" w:hAnsi="宋体" w:cs="宋体"/>
                <w:kern w:val="0"/>
                <w:sz w:val="22"/>
                <w:szCs w:val="22"/>
              </w:rPr>
            </w:pPr>
          </w:p>
        </w:tc>
        <w:tc>
          <w:tcPr>
            <w:tcW w:w="569" w:type="dxa"/>
            <w:tcBorders>
              <w:bottom w:val="single" w:color="auto" w:sz="12" w:space="0"/>
            </w:tcBorders>
            <w:noWrap w:val="0"/>
            <w:vAlign w:val="center"/>
          </w:tcPr>
          <w:p>
            <w:pPr>
              <w:widowControl/>
              <w:jc w:val="center"/>
              <w:rPr>
                <w:rFonts w:ascii="宋体" w:hAnsi="宋体" w:cs="宋体"/>
                <w:kern w:val="0"/>
                <w:sz w:val="22"/>
                <w:szCs w:val="22"/>
              </w:rPr>
            </w:pPr>
          </w:p>
        </w:tc>
        <w:tc>
          <w:tcPr>
            <w:tcW w:w="428" w:type="dxa"/>
            <w:tcBorders>
              <w:bottom w:val="single" w:color="auto" w:sz="12" w:space="0"/>
            </w:tcBorders>
            <w:noWrap w:val="0"/>
            <w:vAlign w:val="center"/>
          </w:tcPr>
          <w:p>
            <w:pPr>
              <w:widowControl/>
              <w:jc w:val="center"/>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10" w:type="dxa"/>
            <w:tcBorders>
              <w:top w:val="single" w:color="auto" w:sz="12" w:space="0"/>
              <w:bottom w:val="single" w:color="auto" w:sz="12"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1188"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合计（1+2+</w:t>
            </w:r>
            <w:r>
              <w:rPr>
                <w:rFonts w:ascii="宋体" w:hAnsi="宋体" w:cs="宋体"/>
                <w:kern w:val="0"/>
                <w:sz w:val="20"/>
                <w:szCs w:val="20"/>
              </w:rPr>
              <w:t>…</w:t>
            </w:r>
            <w:r>
              <w:rPr>
                <w:rFonts w:hint="eastAsia" w:ascii="宋体" w:hAnsi="宋体" w:cs="宋体"/>
                <w:kern w:val="0"/>
                <w:sz w:val="20"/>
                <w:szCs w:val="20"/>
              </w:rPr>
              <w:t>+6）</w:t>
            </w:r>
          </w:p>
        </w:tc>
        <w:tc>
          <w:tcPr>
            <w:tcW w:w="841" w:type="dxa"/>
            <w:tcBorders>
              <w:top w:val="single" w:color="auto" w:sz="12" w:space="0"/>
              <w:left w:val="single" w:color="auto" w:sz="6" w:space="0"/>
              <w:bottom w:val="single" w:color="auto" w:sz="12" w:space="0"/>
              <w:right w:val="single" w:color="auto" w:sz="1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377" w:type="dxa"/>
            <w:tcBorders>
              <w:top w:val="single" w:color="auto" w:sz="12" w:space="0"/>
              <w:left w:val="single" w:color="auto" w:sz="12" w:space="0"/>
              <w:bottom w:val="single" w:color="auto" w:sz="12" w:space="0"/>
              <w:right w:val="single" w:color="auto" w:sz="6" w:space="0"/>
            </w:tcBorders>
            <w:noWrap w:val="0"/>
            <w:vAlign w:val="center"/>
          </w:tcPr>
          <w:p>
            <w:pPr>
              <w:widowControl/>
              <w:jc w:val="center"/>
              <w:rPr>
                <w:rFonts w:ascii="宋体" w:hAnsi="宋体" w:cs="宋体"/>
                <w:kern w:val="0"/>
                <w:sz w:val="18"/>
                <w:szCs w:val="18"/>
              </w:rPr>
            </w:pPr>
          </w:p>
        </w:tc>
        <w:tc>
          <w:tcPr>
            <w:tcW w:w="357"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20"/>
                <w:szCs w:val="20"/>
              </w:rPr>
            </w:pPr>
          </w:p>
        </w:tc>
        <w:tc>
          <w:tcPr>
            <w:tcW w:w="614" w:type="dxa"/>
            <w:tcBorders>
              <w:top w:val="single" w:color="auto" w:sz="12" w:space="0"/>
              <w:left w:val="single" w:color="auto" w:sz="6" w:space="0"/>
              <w:bottom w:val="single" w:color="auto" w:sz="12" w:space="0"/>
              <w:right w:val="single" w:color="auto" w:sz="12" w:space="0"/>
            </w:tcBorders>
            <w:noWrap w:val="0"/>
            <w:vAlign w:val="center"/>
          </w:tcPr>
          <w:p>
            <w:pPr>
              <w:jc w:val="center"/>
              <w:rPr>
                <w:rFonts w:ascii="宋体" w:hAnsi="宋体" w:cs="宋体"/>
                <w:sz w:val="20"/>
                <w:szCs w:val="20"/>
              </w:rPr>
            </w:pPr>
          </w:p>
        </w:tc>
        <w:tc>
          <w:tcPr>
            <w:tcW w:w="841" w:type="dxa"/>
            <w:tcBorders>
              <w:top w:val="single" w:color="auto" w:sz="12" w:space="0"/>
              <w:left w:val="single" w:color="auto" w:sz="12" w:space="0"/>
              <w:bottom w:val="single" w:color="auto" w:sz="12" w:space="0"/>
              <w:right w:val="single" w:color="auto" w:sz="6"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0"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841"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p>
        </w:tc>
        <w:tc>
          <w:tcPr>
            <w:tcW w:w="577"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20"/>
                <w:szCs w:val="20"/>
              </w:rPr>
            </w:pPr>
          </w:p>
        </w:tc>
        <w:tc>
          <w:tcPr>
            <w:tcW w:w="369"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p>
        </w:tc>
        <w:tc>
          <w:tcPr>
            <w:tcW w:w="569" w:type="dxa"/>
            <w:tcBorders>
              <w:top w:val="single" w:color="auto" w:sz="12"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18"/>
                <w:szCs w:val="18"/>
              </w:rPr>
            </w:pPr>
          </w:p>
        </w:tc>
        <w:tc>
          <w:tcPr>
            <w:tcW w:w="428" w:type="dxa"/>
            <w:tcBorders>
              <w:top w:val="single" w:color="auto" w:sz="12" w:space="0"/>
              <w:left w:val="single" w:color="auto" w:sz="6" w:space="0"/>
              <w:bottom w:val="single" w:color="auto" w:sz="12" w:space="0"/>
            </w:tcBorders>
            <w:noWrap w:val="0"/>
            <w:vAlign w:val="center"/>
          </w:tcPr>
          <w:p>
            <w:pPr>
              <w:widowControl/>
              <w:jc w:val="center"/>
              <w:rPr>
                <w:rFonts w:ascii="宋体" w:hAnsi="宋体" w:cs="宋体"/>
                <w:kern w:val="0"/>
                <w:sz w:val="20"/>
                <w:szCs w:val="20"/>
              </w:rPr>
            </w:pPr>
          </w:p>
        </w:tc>
      </w:tr>
    </w:tbl>
    <w:p>
      <w:pPr>
        <w:pStyle w:val="4"/>
        <w:bidi w:val="0"/>
        <w:rPr>
          <w:rFonts w:hint="eastAsia"/>
          <w:lang w:eastAsia="zh-CN"/>
        </w:rPr>
      </w:pPr>
      <w:r>
        <w:rPr>
          <w:rFonts w:hint="eastAsia"/>
          <w:lang w:eastAsia="zh-CN"/>
        </w:rPr>
        <w:t>A105040</w:t>
      </w:r>
      <w:r>
        <w:rPr>
          <w:rFonts w:hint="eastAsia"/>
          <w:lang w:eastAsia="zh-CN"/>
        </w:rPr>
        <w:tab/>
      </w:r>
      <w:r>
        <w:rPr>
          <w:rFonts w:hint="eastAsia"/>
          <w:lang w:eastAsia="zh-CN"/>
        </w:rPr>
        <w:t>《专项用途财政性资金纳税调整明细表》填报说明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本表适用于发生符合不征税收入条件的专项用途财政性资金纳税调整项目的纳税人填报。纳税人根据税法、《财政部 国家税务总局关于专项用途财政性资金企业所得税处理问题的通知》（财税〔2011〕70号）等相关规定，以及国家统一企业会计制度，填报纳税人专项用途财政性资金会计处理、税收规定，以及纳税调整情况。本表对不征税收入用于费用化的支出进行调整，资本化支出通过《资产折旧、摊销及纳税调整明细表》（A105080）进行纳税调整。</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1、第1列“取得年度”：填报取得专项用途财政性资金的公历年度。第5行至第1行依次从6行往前倒推，第6行为申报年度。</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2、第2列“财政性资金”：填报纳税人相应年度实际取得的财政性资金金额。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3、第3列“其中：符合不征税收入条件的财政性资金”：填报纳税人相应年度实际取得的符合不征税收入条件且已作不征税收入处理的财政性资金金额。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列“其中：计入本年损益的金额”：填报第3列“其中：符合不征税收入条件的财政性资金”中，会计处理时计入本年（申报年度）损益的金额。本列第7行金额为《纳税调整项目明细表》（A105000）第9行“其中：专项用途财政性资金”的第4列“调减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5、第5列至第9列“以前年度支出情况”：填报纳税人作为不征税收入处理的符合条件的财政性资金，在申报年度的以前的5个纳税年度发生的支出金额。前一年度，填报本年的上一纳税年度，以此类推。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6、第10列“支出金额”：填报纳税人历年作为不征税收入处理的符合条件的财政性资金，在本年（申报年度）用于支出的金额。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11列“其中：费用化支出金额”：填报纳税人历年作为不征税收入处理的符合条件的财政性资金，在本年（申报年度）用于支出计入本年损益的费用金额，本列第7行金额为《纳税调整项目明细表》（A105000）第25行“其中：专项用途财政性资金用于支出所形成的费用”的第3列“调增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8、第12列“结余金额”：填报纳税人历年作为不征税收入处理的符合条件的财政性资金，减除历年累计支出（包括费用化支出和资本化支出）后尚未使用的不征税收入余额。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9、第13列“其中：上缴财政金额”：填报第12列“结余金额”中向财政部门或其他拨付资金的政府部门缴回的金额。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14列“应计入本年应税收入金额”：填报企业以前年度取得财政性资金且已作为不征税收入处理后，在5年（60个月）内未发生支出且未缴回财政部门或其他拨付资金的政府部门，应计入本年应税收入的金额。本列第7行金额为《纳税调整项目明细表》（A105000）第9行“其中：专项用途财政性资金”的第3列“调增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1、第1行第12列＝第1行第3-5-6-7-8-9-10列。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2、第2行第12列＝第2行第3-6-7-8-9-10列。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3、第3行第12列＝第3行第3-7-8-9-10列。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4、第4行第12列＝第4行第3-8-9-10列。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5、第5行第12列＝第5行第3-9-10列。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6、第6行第12列＝第6行第3-10列。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7、第7行＝第1+2+3+4+5+6行。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1、第7行第4列＝表A105000第9行第4列。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2、第7行第11列＝表A105000第25行第3列。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3、第7行第14列＝表A105000第9行第3列。</w:t>
      </w: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bidi w:val="0"/>
        <w:jc w:val="both"/>
        <w:rPr>
          <w:rFonts w:hint="eastAsia"/>
          <w:lang w:eastAsia="zh-CN"/>
        </w:rPr>
      </w:pPr>
    </w:p>
    <w:p>
      <w:pPr>
        <w:pStyle w:val="3"/>
        <w:bidi w:val="0"/>
        <w:rPr>
          <w:rFonts w:hint="eastAsia"/>
          <w:lang w:eastAsia="zh-CN"/>
        </w:rPr>
      </w:pPr>
      <w:r>
        <w:rPr>
          <w:rFonts w:hint="eastAsia"/>
          <w:lang w:eastAsia="zh-CN"/>
        </w:rPr>
        <w:t>A105050</w:t>
      </w:r>
      <w:r>
        <w:rPr>
          <w:rFonts w:hint="eastAsia"/>
          <w:lang w:eastAsia="zh-CN"/>
        </w:rPr>
        <w:tab/>
      </w:r>
      <w:r>
        <w:rPr>
          <w:rFonts w:hint="eastAsia"/>
          <w:lang w:eastAsia="zh-CN"/>
        </w:rPr>
        <w:t>职工薪酬支出及纳税调整明细表</w:t>
      </w:r>
    </w:p>
    <w:tbl>
      <w:tblPr>
        <w:tblStyle w:val="8"/>
        <w:tblW w:w="1106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1"/>
        <w:gridCol w:w="3928"/>
        <w:gridCol w:w="862"/>
        <w:gridCol w:w="784"/>
        <w:gridCol w:w="922"/>
        <w:gridCol w:w="1218"/>
        <w:gridCol w:w="684"/>
        <w:gridCol w:w="957"/>
        <w:gridCol w:w="11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vMerge w:val="restart"/>
            <w:tcBorders>
              <w:top w:val="single" w:color="auto" w:sz="12" w:space="0"/>
              <w:left w:val="single" w:color="auto" w:sz="12" w:space="0"/>
              <w:bottom w:val="single" w:color="auto" w:sz="6" w:space="0"/>
              <w:right w:val="single" w:color="auto" w:sz="6" w:space="0"/>
            </w:tcBorders>
            <w:noWrap w:val="0"/>
            <w:vAlign w:val="center"/>
          </w:tcPr>
          <w:p>
            <w:pPr>
              <w:widowControl/>
              <w:rPr>
                <w:rFonts w:ascii="宋体"/>
                <w:kern w:val="0"/>
                <w:sz w:val="20"/>
                <w:szCs w:val="20"/>
              </w:rPr>
            </w:pPr>
            <w:r>
              <w:rPr>
                <w:rFonts w:hint="eastAsia" w:ascii="宋体" w:hAnsi="宋体" w:cs="宋体"/>
                <w:kern w:val="0"/>
                <w:sz w:val="20"/>
                <w:szCs w:val="20"/>
              </w:rPr>
              <w:t>行次</w:t>
            </w:r>
          </w:p>
        </w:tc>
        <w:tc>
          <w:tcPr>
            <w:tcW w:w="3928"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spacing w:val="495"/>
                <w:kern w:val="0"/>
                <w:sz w:val="20"/>
                <w:szCs w:val="20"/>
              </w:rPr>
              <w:t>项</w:t>
            </w:r>
            <w:r>
              <w:rPr>
                <w:rFonts w:hint="eastAsia" w:ascii="宋体" w:hAnsi="宋体" w:cs="宋体"/>
                <w:spacing w:val="7"/>
                <w:kern w:val="0"/>
                <w:sz w:val="20"/>
                <w:szCs w:val="20"/>
              </w:rPr>
              <w:t>目</w:t>
            </w:r>
          </w:p>
        </w:tc>
        <w:tc>
          <w:tcPr>
            <w:tcW w:w="862"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账载金额</w:t>
            </w:r>
          </w:p>
        </w:tc>
        <w:tc>
          <w:tcPr>
            <w:tcW w:w="784"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实际发生额</w:t>
            </w:r>
          </w:p>
        </w:tc>
        <w:tc>
          <w:tcPr>
            <w:tcW w:w="922"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税收规定扣除率</w:t>
            </w:r>
          </w:p>
        </w:tc>
        <w:tc>
          <w:tcPr>
            <w:tcW w:w="1218"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以前年度累计结转扣除额</w:t>
            </w:r>
          </w:p>
        </w:tc>
        <w:tc>
          <w:tcPr>
            <w:tcW w:w="684"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hint="eastAsia" w:ascii="宋体" w:hAnsi="宋体" w:cs="宋体"/>
                <w:kern w:val="0"/>
                <w:sz w:val="20"/>
                <w:szCs w:val="20"/>
              </w:rPr>
            </w:pPr>
            <w:r>
              <w:rPr>
                <w:rFonts w:hint="eastAsia" w:ascii="宋体" w:hAnsi="宋体" w:cs="宋体"/>
                <w:kern w:val="0"/>
                <w:sz w:val="20"/>
                <w:szCs w:val="20"/>
              </w:rPr>
              <w:t>税收</w:t>
            </w:r>
          </w:p>
          <w:p>
            <w:pPr>
              <w:widowControl/>
              <w:jc w:val="center"/>
              <w:rPr>
                <w:rFonts w:ascii="宋体"/>
                <w:kern w:val="0"/>
                <w:sz w:val="20"/>
                <w:szCs w:val="20"/>
              </w:rPr>
            </w:pPr>
            <w:r>
              <w:rPr>
                <w:rFonts w:hint="eastAsia" w:ascii="宋体" w:hAnsi="宋体" w:cs="宋体"/>
                <w:kern w:val="0"/>
                <w:sz w:val="20"/>
                <w:szCs w:val="20"/>
              </w:rPr>
              <w:t>金额</w:t>
            </w:r>
          </w:p>
        </w:tc>
        <w:tc>
          <w:tcPr>
            <w:tcW w:w="957"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纳税调整金额</w:t>
            </w:r>
          </w:p>
        </w:tc>
        <w:tc>
          <w:tcPr>
            <w:tcW w:w="1175" w:type="dxa"/>
            <w:tcBorders>
              <w:top w:val="single" w:color="auto" w:sz="12"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累计结转以后年度扣除额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kern w:val="0"/>
                <w:sz w:val="20"/>
                <w:szCs w:val="20"/>
              </w:rPr>
            </w:pPr>
          </w:p>
        </w:tc>
        <w:tc>
          <w:tcPr>
            <w:tcW w:w="39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w:t>
            </w: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w:t>
            </w: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4</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5</w:t>
            </w: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6</w:t>
            </w:r>
            <w:r>
              <w:rPr>
                <w:rFonts w:hint="eastAsia" w:ascii="宋体" w:hAnsi="宋体" w:cs="宋体"/>
                <w:kern w:val="0"/>
                <w:sz w:val="20"/>
                <w:szCs w:val="20"/>
              </w:rPr>
              <w:t>（</w:t>
            </w:r>
            <w:r>
              <w:rPr>
                <w:rFonts w:ascii="宋体" w:hAnsi="宋体" w:cs="宋体"/>
                <w:kern w:val="0"/>
                <w:sz w:val="20"/>
                <w:szCs w:val="20"/>
              </w:rPr>
              <w:t>1-5</w:t>
            </w:r>
            <w:r>
              <w:rPr>
                <w:rFonts w:hint="eastAsia" w:ascii="宋体" w:hAnsi="宋体" w:cs="宋体"/>
                <w:kern w:val="0"/>
                <w:sz w:val="20"/>
                <w:szCs w:val="20"/>
              </w:rPr>
              <w:t>）</w:t>
            </w: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7</w:t>
            </w:r>
            <w:r>
              <w:rPr>
                <w:rFonts w:hint="eastAsia" w:ascii="宋体" w:hAnsi="宋体" w:cs="宋体"/>
                <w:kern w:val="0"/>
                <w:sz w:val="20"/>
                <w:szCs w:val="20"/>
              </w:rPr>
              <w:t>（</w:t>
            </w:r>
            <w:r>
              <w:rPr>
                <w:rFonts w:ascii="宋体" w:hAnsi="宋体" w:cs="宋体"/>
                <w:kern w:val="0"/>
                <w:sz w:val="20"/>
                <w:szCs w:val="20"/>
              </w:rPr>
              <w:t>2+4-5</w:t>
            </w: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一、工资薪金支出</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其中：股权激励</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p>
            <w:pPr>
              <w:widowControl/>
              <w:jc w:val="center"/>
              <w:rPr>
                <w:rFonts w:ascii="宋体"/>
                <w:kern w:val="0"/>
                <w:sz w:val="20"/>
                <w:szCs w:val="20"/>
              </w:rPr>
            </w:pP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二、职工福利费支出</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4</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三、职工教育经费支出</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5</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其中：按税收规定比例扣除的职工教育经费</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6</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ind w:firstLine="1000" w:firstLineChars="500"/>
              <w:jc w:val="left"/>
              <w:rPr>
                <w:rFonts w:ascii="宋体"/>
                <w:kern w:val="0"/>
                <w:sz w:val="20"/>
                <w:szCs w:val="20"/>
              </w:rPr>
            </w:pPr>
            <w:r>
              <w:rPr>
                <w:rFonts w:hint="eastAsia" w:ascii="宋体" w:hAnsi="宋体" w:cs="宋体"/>
                <w:kern w:val="0"/>
                <w:sz w:val="20"/>
                <w:szCs w:val="20"/>
              </w:rPr>
              <w:t>按税收规定全额扣除的职工培训费用</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7</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四、工会经费支出</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8</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五、各类基本社会保障性缴款</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9</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六、住房公积金</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10</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七、补充养老保险</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11</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八、补充医疗保险</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12</w:t>
            </w:r>
          </w:p>
        </w:tc>
        <w:tc>
          <w:tcPr>
            <w:tcW w:w="392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九、其他</w:t>
            </w:r>
          </w:p>
        </w:tc>
        <w:tc>
          <w:tcPr>
            <w:tcW w:w="86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6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1" w:type="dxa"/>
            <w:tcBorders>
              <w:top w:val="single" w:color="auto" w:sz="6" w:space="0"/>
              <w:left w:val="single" w:color="auto" w:sz="12" w:space="0"/>
              <w:bottom w:val="single" w:color="auto" w:sz="12"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13</w:t>
            </w:r>
          </w:p>
        </w:tc>
        <w:tc>
          <w:tcPr>
            <w:tcW w:w="3928" w:type="dxa"/>
            <w:tcBorders>
              <w:top w:val="single" w:color="auto" w:sz="6" w:space="0"/>
              <w:left w:val="single" w:color="auto" w:sz="6" w:space="0"/>
              <w:bottom w:val="single" w:color="auto" w:sz="12"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合计（</w:t>
            </w:r>
            <w:r>
              <w:rPr>
                <w:rFonts w:ascii="宋体" w:hAnsi="宋体" w:cs="宋体"/>
                <w:kern w:val="0"/>
                <w:sz w:val="20"/>
                <w:szCs w:val="20"/>
              </w:rPr>
              <w:t>1+3+4+7+8+9+10+11+12</w:t>
            </w:r>
            <w:r>
              <w:rPr>
                <w:rFonts w:hint="eastAsia" w:ascii="宋体" w:hAnsi="宋体" w:cs="宋体"/>
                <w:kern w:val="0"/>
                <w:sz w:val="20"/>
                <w:szCs w:val="20"/>
              </w:rPr>
              <w:t>）</w:t>
            </w:r>
          </w:p>
        </w:tc>
        <w:tc>
          <w:tcPr>
            <w:tcW w:w="862"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784"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922"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w:t>
            </w:r>
          </w:p>
        </w:tc>
        <w:tc>
          <w:tcPr>
            <w:tcW w:w="1218"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684"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957"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175" w:type="dxa"/>
            <w:tcBorders>
              <w:top w:val="single" w:color="auto" w:sz="6" w:space="0"/>
              <w:left w:val="single" w:color="auto" w:sz="6" w:space="0"/>
              <w:bottom w:val="single" w:color="auto" w:sz="12" w:space="0"/>
              <w:right w:val="single" w:color="auto" w:sz="12" w:space="0"/>
            </w:tcBorders>
            <w:noWrap w:val="0"/>
            <w:vAlign w:val="center"/>
          </w:tcPr>
          <w:p>
            <w:pPr>
              <w:widowControl/>
              <w:jc w:val="center"/>
              <w:rPr>
                <w:rFonts w:ascii="宋体"/>
                <w:kern w:val="0"/>
                <w:sz w:val="20"/>
                <w:szCs w:val="20"/>
              </w:rPr>
            </w:pPr>
          </w:p>
        </w:tc>
      </w:tr>
    </w:tbl>
    <w:p>
      <w:pPr>
        <w:pStyle w:val="4"/>
        <w:bidi w:val="0"/>
        <w:rPr>
          <w:rFonts w:hint="eastAsia"/>
          <w:lang w:eastAsia="zh-CN"/>
        </w:rPr>
      </w:pPr>
      <w:r>
        <w:rPr>
          <w:rFonts w:hint="eastAsia"/>
          <w:lang w:eastAsia="zh-CN"/>
        </w:rPr>
        <w:t>A105050</w:t>
      </w:r>
      <w:r>
        <w:rPr>
          <w:rFonts w:hint="eastAsia"/>
          <w:lang w:eastAsia="zh-CN"/>
        </w:rPr>
        <w:tab/>
      </w:r>
      <w:r>
        <w:rPr>
          <w:rFonts w:hint="eastAsia"/>
          <w:lang w:eastAsia="zh-CN"/>
        </w:rPr>
        <w:t>《职工薪酬支出及纳税调整明细表》填报说明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纳税人根据税法、《国家税务总局关于企业工资薪金及职工福利费扣除问题的通知》（国税函〔2009〕3号）、《财政部 国家税务总局关于扶持动漫产业发展有关税收政策问题的通知》（财税〔2009〕65号）、《财政部 国家税务总局关于进一步鼓励软件产业和集成电路产业发展企业所得税政策的通知》（财税〔2012〕27号）、《国家税务总局关于我国居民企业实行股权激励计划有关企业所得税处理问题的公告》（国家税务总局公告2012年第18号）、《财政部 国家税务总局 商务部 科技部 国家发展改革委关于完善技术先进型服务企业有关企业所得税政策问题的通知》（财税〔2014〕59号）、《国家税务总局关于企业工资薪金和职工福利费等支出税前扣除问题的公告》（国家税务总局公告2015年第34号）、《财政部 税务总局关于企业职工教育经费税前扣除政策的通知》（财税〔2018〕51号）等相关规定，以及国家统一企业会计制度，填报纳税人职工薪酬会计处理、税收规定，以及纳税调整情况。纳税人只要发生相关支出，不论是否纳税调整，均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1、第1行“一、工资薪金支出”：填报纳税人本年度支付给在本企业任职或者受雇的员工的所有现金形式或非现金形式的劳动报酬及其会计核算、纳税调整等金额，具体如下：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（1）第1列“账载金额”：填报纳税人会计核算计入成本费用的职工工资、奖金、津贴和补贴金额。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（2）第2列“实际发生额”：分析填报纳税人“应付职工薪酬”会计科目借方发生额（实际发放的工资薪金）。</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（3）第5列“税收金额”：填报纳税人按照税收规定允许税前扣除的金额，按照第1列和第2列分析填报。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2、第2行“股权激励”：适用于执行《上市公司股权激励管理办法》（中国证券监督管理委员会令第126号）的纳税人填报，具体如下：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（1）第1列“账载金额”：填报纳税人按照国家有关规定建立职工股权激励计划，会计核算计入成本费用的金额。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（2）第2列“实际发生额”：填报纳税人根据本年实际行权时股权的公允价格与激励对象实际行权支付价格的差额和数量计算确定的金额。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（3）第5列“税收金额”：填报行权时按照税收规定允许税前扣除的金额，按第2列金额填报。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3、第3行“二、职工福利费支出”：填报纳税人本年度发生的职工福利费及其会计核算、纳税调整等金额，具体如下：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（1）第1列“账载金额”：填报纳税人会计核算计入成本费用的职工福利费的金额。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（2）第2列“实际发生额”：分析填报纳税人“应付职工薪酬”会计科目下的职工福利费实际发生额。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（3）第3列“税收规定扣除率”：填报税收规定的扣除比例。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（4）第5列“税收金额”：填报按照税收规定允许税前扣除的金额，按第1行第5列“工资薪金支出\税收金额”×税收规定扣除率与第1列、第2列三者孰小值填报。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4、第4行“三、职工教育经费支出”：填报第5行金额或者第5+6行金额。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按税收规定比例扣除的职工教育经费”：适用于按照税收规定职工教育经费按比例税前扣除的纳税人填报，填报纳税人本年度发生的按税收规定比例扣除的职工教育经费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（1）第1列“账载金额”填报纳税人会计核算计入成本费用的按税收规定比例扣除的职工教育经费金额，不包括第6行“按税收规定全额扣除的职工培训费用”金额。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（2）第2列“实际发生额”：分析填报纳税人“应付职工薪酬”会计科目下的职工教育经费实际发生额，不包括第6行“按税收规定全额扣除的职工培训费用”金额。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（3）第3列“税收规定扣除率”：填报税收规定的扣除比例。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（4）第4列“以前年度累计结转扣除额”：填报纳税人以前年度累计结转准予扣除的职工教育经费支出余额。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列“税收金额”：填报纳税人按照税收规定允许税前扣除的金额（不包括第6行“按税收规定全额扣除的职工培训费用”金额），按第1行第5列“工资薪金支出\税收金额”×税收规定扣除率与第2+4列的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（7）第7列“累计结转以后年度扣除额”：填报第2+4-5列金额。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按税收规定全额扣除的职工培训费用”：适用于按照税收规定职工培训费用允许全额税前扣除的纳税人填报，填报纳税人本年度发生的按税收规定全额扣除的职工培训费用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（1）第1列“账载金额”：填报纳税人会计核算计入成本费用的按税收规定全额扣除的职工培训费用金额。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（2）第2列“实际发生额”：分析填报纳税人“应付职工薪酬”会计科目下的职工教育经费本年实际发生额中可全额扣除的职工培训费用金额。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（3）第3列“税收规定扣除率”：填报税收规定的扣除比例（100%）。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（4）第5列“税收金额”：填报按照税收规定允许税前扣除的金额，按第2列金额填报。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7、第7行“四、工会经费支出”：填报纳税人本年度拨缴工会经费及其会计核算、纳税调整等金额，具体如下：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（1）第1列“账载金额”：填报纳税人会计核算计入成本费用的工会经费支出金额。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（2）第2列“实际发生额”：分析填报纳税人“应付职工薪酬”会计科目下的工会经费本年实际发生额。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（3）第3列“税收规定扣除率”：填报税收规定的扣除比例。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（4）第5列“税收金额”：填报按照税收规定允许税前扣除的金额，按第1行第5列“工资薪金支出\税收金额”×税收规定扣除率与第1列、第2列三者孰小值填报。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8、第8行“五、各类基本社会保障性缴款”：填报纳税人依照国务院有关主管部门或者省级人民政府规定的范围和标准为职工缴纳的基本社会保险费及其会计核算、纳税调整等金额，具体如下：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（1）第1列“账载金额”：填报纳税人会计核算的各类基本社会保障性缴款的金额。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（2）第2列“实际发生额”：分析填报纳税人“应付职工薪酬”会计科目下的各类基本社会保障性缴款本年实际发生额。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5列“税收金额”：填报按照税收规定允许税前扣除的各类基本社会保障性缴款的金额，按纳税人依照国务院有关主管部门或者省级人民政府规定的范围和标准计算的各类基本社会保障性缴款的金额、第1列及第2列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9、第9行“六、住房公积金”：填报纳税人依照国务院有关主管部门或者省级人民政府规定的范围和标准为职工缴纳的住房公积金及其会计核算、纳税调整等金额，具体如下：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（1）第1列“账载金额”：填报纳税人会计核算的住房公积金金额。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（2）第2列“实际发生额”：分析填报纳税人“应付职工薪酬”会计科目下的住房公积金本年实际发生额。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（3）第5列“税收金额”：填报按照税收规定允许税前扣除的住房公积金金额，按纳税人依照国务院有关主管部门或者省级人民政府规定的范围和标准计算的住房公积金金额、第1列及第2列三者孰小值填报。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10、第10行“七、补充养老保险”：填报纳税人为投资者或者职工支付的补充养老保险费及其会计核算、纳税调整等金额，具体如下：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（1）第1列“账载金额”：填报纳税人会计核算的补充养老保险金额。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（2）第2列“实际发生额”：分析填报纳税人“应付职工薪酬”会计科目下的补充养老保险本年实际发生额。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（3）第3列“税收规定扣除率”：填报税收规定的扣除比例。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（4）第5列“税收金额”：填报按照税收规定允许税前扣除的补充养老保险的金额，按第1行第5列“工资薪金支出\税收金额”×税收规定扣除率与第1列、第2列三者孰小值填报。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11、第11行“八、补充医疗保险”：填报纳税人为投资者或者职工支付的补充医疗保险费及其会计核算、纳税调整等金额，具体如下：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（1）第1列“账载金额”：填报纳税人会计核算的补充医疗保险金额。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（2）第2列“实际发生额”：分析填报纳税人“应付职工薪酬”会计科目下的补充医疗保险本年实际发生额。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（3）第3列“税收规定扣除率”：填报税收规定的扣除比例。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（4）第5列“税收金额”：填报按照税收规定允许税前扣除的补充医疗保险的金额，按第1行第5列“工资薪金支出\税收金额”×税收规定扣除率与第1列、第2列三者孰小值填报。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（5）第6列“纳税调整金额”：填报第1-5列金额。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12、第12行“九、其他”：填报其他职工薪酬的金额及其会计核算、纳税调整等金额。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13、第13行“合计”：填报第1+3+4+7+8+9+10+11+12行金额。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1、第4行＝第5行或第5+6行。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2、第13行＝第1+3+4+7+8+9+10+11+12行。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3、第6列＝第1-5列。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4、第7列＝第2+4-5列。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1、第13行第1列＝表A105000第14行第1列。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2、第13行第5列＝表A105000第14行第2列。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3、若第13行第6列≥0，第13行第6列＝表A105000第14行第3列；若第13行第6列＜0，第13行第6列的绝对值＝表A105000第14行第4列。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A105060</w:t>
      </w:r>
      <w:r>
        <w:rPr>
          <w:rFonts w:hint="eastAsia"/>
          <w:lang w:eastAsia="zh-CN"/>
        </w:rPr>
        <w:tab/>
      </w:r>
      <w:r>
        <w:rPr>
          <w:rFonts w:hint="eastAsia"/>
          <w:lang w:eastAsia="zh-CN"/>
        </w:rPr>
        <w:t>广告费和业务宣传费等跨年度纳税调整明细表</w:t>
      </w:r>
    </w:p>
    <w:tbl>
      <w:tblPr>
        <w:tblStyle w:val="8"/>
        <w:tblW w:w="101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0"/>
        <w:gridCol w:w="6956"/>
        <w:gridCol w:w="1276"/>
        <w:gridCol w:w="12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05" w:hRule="atLeast"/>
          <w:jc w:val="center"/>
        </w:trPr>
        <w:tc>
          <w:tcPr>
            <w:tcW w:w="640" w:type="dxa"/>
            <w:vMerge w:val="restart"/>
            <w:tcBorders>
              <w:top w:val="single" w:color="auto" w:sz="12"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hint="eastAsia" w:ascii="宋体" w:hAnsi="宋体" w:cs="宋体"/>
                <w:kern w:val="0"/>
                <w:sz w:val="20"/>
                <w:szCs w:val="20"/>
              </w:rPr>
              <w:t>行次</w:t>
            </w:r>
          </w:p>
        </w:tc>
        <w:tc>
          <w:tcPr>
            <w:tcW w:w="6956"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hint="eastAsia" w:ascii="宋体" w:hAnsi="宋体" w:cs="宋体"/>
                <w:spacing w:val="500"/>
                <w:kern w:val="0"/>
                <w:sz w:val="20"/>
                <w:szCs w:val="20"/>
              </w:rPr>
              <w:t>项</w:t>
            </w:r>
            <w:r>
              <w:rPr>
                <w:rFonts w:hint="eastAsia" w:ascii="宋体" w:hAnsi="宋体" w:cs="宋体"/>
                <w:kern w:val="0"/>
                <w:sz w:val="20"/>
                <w:szCs w:val="20"/>
              </w:rPr>
              <w:t>目</w:t>
            </w:r>
          </w:p>
        </w:tc>
        <w:tc>
          <w:tcPr>
            <w:tcW w:w="1276"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hint="eastAsia" w:ascii="宋体" w:hAnsi="宋体" w:cs="宋体"/>
                <w:kern w:val="0"/>
                <w:sz w:val="20"/>
                <w:szCs w:val="20"/>
              </w:rPr>
              <w:t>广告费和</w:t>
            </w:r>
          </w:p>
          <w:p>
            <w:pPr>
              <w:widowControl/>
              <w:jc w:val="center"/>
              <w:rPr>
                <w:rFonts w:ascii="宋体" w:cs="宋体"/>
                <w:kern w:val="0"/>
                <w:sz w:val="20"/>
                <w:szCs w:val="20"/>
              </w:rPr>
            </w:pPr>
            <w:r>
              <w:rPr>
                <w:rFonts w:hint="eastAsia" w:ascii="宋体" w:hAnsi="宋体" w:cs="宋体"/>
                <w:kern w:val="0"/>
                <w:sz w:val="20"/>
                <w:szCs w:val="20"/>
              </w:rPr>
              <w:t>业务宣传费</w:t>
            </w:r>
          </w:p>
        </w:tc>
        <w:tc>
          <w:tcPr>
            <w:tcW w:w="1276" w:type="dxa"/>
            <w:tcBorders>
              <w:top w:val="single" w:color="auto" w:sz="12"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r>
              <w:rPr>
                <w:rFonts w:hint="eastAsia" w:ascii="宋体" w:hAnsi="宋体" w:cs="宋体"/>
                <w:kern w:val="0"/>
                <w:sz w:val="20"/>
                <w:szCs w:val="20"/>
              </w:rPr>
              <w:t>保险企业手续费及佣金支出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p>
        </w:tc>
        <w:tc>
          <w:tcPr>
            <w:tcW w:w="6956"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cs="宋体"/>
                <w:kern w:val="0"/>
                <w:sz w:val="20"/>
                <w:szCs w:val="20"/>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r>
              <w:rPr>
                <w:rFonts w:ascii="宋体" w:hAnsi="宋体" w:cs="宋体"/>
                <w:kern w:val="0"/>
                <w:sz w:val="20"/>
                <w:szCs w:val="20"/>
              </w:rPr>
              <w:t>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一、本年支出</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2</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cs="宋体"/>
                <w:kern w:val="0"/>
                <w:sz w:val="20"/>
                <w:szCs w:val="20"/>
              </w:rPr>
            </w:pPr>
            <w:r>
              <w:rPr>
                <w:rFonts w:hint="eastAsia" w:ascii="宋体" w:hAnsi="宋体" w:cs="宋体"/>
                <w:kern w:val="0"/>
                <w:sz w:val="20"/>
                <w:szCs w:val="20"/>
              </w:rPr>
              <w:t>减：不允许扣除的支出</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3</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二、本年符合条件的支出（</w:t>
            </w:r>
            <w:r>
              <w:rPr>
                <w:rFonts w:ascii="宋体" w:hAnsi="宋体" w:cs="宋体"/>
                <w:kern w:val="0"/>
                <w:sz w:val="20"/>
                <w:szCs w:val="20"/>
              </w:rPr>
              <w:t>1-2</w:t>
            </w:r>
            <w:r>
              <w:rPr>
                <w:rFonts w:hint="eastAsia" w:ascii="宋体" w:hAnsi="宋体" w:cs="宋体"/>
                <w:kern w:val="0"/>
                <w:sz w:val="20"/>
                <w:szCs w:val="20"/>
              </w:rPr>
              <w:t>）</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4</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三、本年计算扣除限额的基数</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5</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rPr>
                <w:rFonts w:ascii="宋体" w:cs="宋体"/>
                <w:kern w:val="0"/>
                <w:sz w:val="20"/>
                <w:szCs w:val="20"/>
              </w:rPr>
            </w:pPr>
            <w:r>
              <w:rPr>
                <w:rFonts w:hint="eastAsia" w:ascii="宋体" w:hAnsi="宋体" w:cs="宋体"/>
                <w:kern w:val="0"/>
                <w:sz w:val="20"/>
                <w:szCs w:val="20"/>
              </w:rPr>
              <w:t>乘：税收规定扣除率</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6</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四、本企业计算的扣除限额（</w:t>
            </w:r>
            <w:r>
              <w:rPr>
                <w:rFonts w:ascii="宋体" w:hAnsi="宋体" w:cs="宋体"/>
                <w:kern w:val="0"/>
                <w:sz w:val="20"/>
                <w:szCs w:val="20"/>
              </w:rPr>
              <w:t>4</w:t>
            </w:r>
            <w:r>
              <w:rPr>
                <w:rFonts w:hint="eastAsia" w:ascii="宋体" w:hAnsi="宋体" w:cs="宋体"/>
                <w:kern w:val="0"/>
                <w:sz w:val="20"/>
                <w:szCs w:val="20"/>
              </w:rPr>
              <w:t>×</w:t>
            </w:r>
            <w:r>
              <w:rPr>
                <w:rFonts w:ascii="宋体" w:hAnsi="宋体" w:cs="宋体"/>
                <w:kern w:val="0"/>
                <w:sz w:val="20"/>
                <w:szCs w:val="20"/>
              </w:rPr>
              <w:t>5</w:t>
            </w:r>
            <w:r>
              <w:rPr>
                <w:rFonts w:hint="eastAsia" w:ascii="宋体" w:hAnsi="宋体" w:cs="宋体"/>
                <w:kern w:val="0"/>
                <w:sz w:val="20"/>
                <w:szCs w:val="20"/>
              </w:rPr>
              <w:t>）</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7</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五、本年结转以后年度扣除额</w:t>
            </w:r>
          </w:p>
          <w:p>
            <w:pPr>
              <w:widowControl/>
              <w:jc w:val="left"/>
              <w:rPr>
                <w:rFonts w:ascii="宋体" w:cs="宋体"/>
                <w:kern w:val="0"/>
                <w:sz w:val="20"/>
                <w:szCs w:val="20"/>
              </w:rPr>
            </w:pPr>
            <w:r>
              <w:rPr>
                <w:rFonts w:hint="eastAsia" w:ascii="宋体" w:hAnsi="宋体" w:cs="宋体"/>
                <w:kern w:val="0"/>
                <w:sz w:val="20"/>
                <w:szCs w:val="20"/>
              </w:rPr>
              <w:t>（</w:t>
            </w:r>
            <w:r>
              <w:rPr>
                <w:rFonts w:ascii="宋体" w:hAnsi="宋体" w:cs="宋体"/>
                <w:kern w:val="0"/>
                <w:sz w:val="20"/>
                <w:szCs w:val="20"/>
              </w:rPr>
              <w:t>3</w:t>
            </w:r>
            <w:r>
              <w:rPr>
                <w:rFonts w:hint="eastAsia" w:ascii="宋体" w:hAnsi="宋体" w:cs="宋体"/>
                <w:kern w:val="0"/>
                <w:sz w:val="20"/>
                <w:szCs w:val="20"/>
              </w:rPr>
              <w:t>＞</w:t>
            </w:r>
            <w:r>
              <w:rPr>
                <w:rFonts w:ascii="宋体" w:hAnsi="宋体" w:cs="宋体"/>
                <w:kern w:val="0"/>
                <w:sz w:val="20"/>
                <w:szCs w:val="20"/>
              </w:rPr>
              <w:t>6</w:t>
            </w:r>
            <w:r>
              <w:rPr>
                <w:rFonts w:hint="eastAsia" w:ascii="宋体" w:hAnsi="宋体" w:cs="宋体"/>
                <w:kern w:val="0"/>
                <w:sz w:val="20"/>
                <w:szCs w:val="20"/>
              </w:rPr>
              <w:t>，本行</w:t>
            </w:r>
            <w:r>
              <w:rPr>
                <w:rFonts w:ascii="宋体" w:hAnsi="宋体" w:cs="宋体"/>
                <w:kern w:val="0"/>
                <w:sz w:val="20"/>
                <w:szCs w:val="20"/>
              </w:rPr>
              <w:t>=3-6</w:t>
            </w:r>
            <w:r>
              <w:rPr>
                <w:rFonts w:hint="eastAsia" w:ascii="宋体" w:hAnsi="宋体" w:cs="宋体"/>
                <w:kern w:val="0"/>
                <w:sz w:val="20"/>
                <w:szCs w:val="20"/>
              </w:rPr>
              <w:t>；</w:t>
            </w:r>
            <w:r>
              <w:rPr>
                <w:rFonts w:ascii="宋体" w:hAnsi="宋体" w:cs="宋体"/>
                <w:kern w:val="0"/>
                <w:sz w:val="20"/>
                <w:szCs w:val="20"/>
              </w:rPr>
              <w:t>3</w:t>
            </w:r>
            <w:r>
              <w:rPr>
                <w:rFonts w:hint="eastAsia" w:ascii="宋体" w:hAnsi="宋体" w:cs="宋体"/>
                <w:kern w:val="0"/>
                <w:sz w:val="20"/>
                <w:szCs w:val="20"/>
              </w:rPr>
              <w:t>≤</w:t>
            </w:r>
            <w:r>
              <w:rPr>
                <w:rFonts w:ascii="宋体" w:hAnsi="宋体" w:cs="宋体"/>
                <w:kern w:val="0"/>
                <w:sz w:val="20"/>
                <w:szCs w:val="20"/>
              </w:rPr>
              <w:t>6</w:t>
            </w:r>
            <w:r>
              <w:rPr>
                <w:rFonts w:hint="eastAsia" w:ascii="宋体" w:hAnsi="宋体" w:cs="宋体"/>
                <w:kern w:val="0"/>
                <w:sz w:val="20"/>
                <w:szCs w:val="20"/>
              </w:rPr>
              <w:t>，本行</w:t>
            </w:r>
            <w:r>
              <w:rPr>
                <w:rFonts w:ascii="宋体" w:hAnsi="宋体" w:cs="宋体"/>
                <w:kern w:val="0"/>
                <w:sz w:val="20"/>
                <w:szCs w:val="20"/>
              </w:rPr>
              <w:t>=0</w:t>
            </w:r>
            <w:r>
              <w:rPr>
                <w:rFonts w:hint="eastAsia" w:ascii="宋体" w:hAnsi="宋体" w:cs="宋体"/>
                <w:kern w:val="0"/>
                <w:sz w:val="20"/>
                <w:szCs w:val="20"/>
              </w:rPr>
              <w:t>）</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8</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rPr>
                <w:rFonts w:ascii="宋体" w:cs="宋体"/>
                <w:kern w:val="0"/>
                <w:sz w:val="20"/>
                <w:szCs w:val="20"/>
              </w:rPr>
            </w:pPr>
            <w:r>
              <w:rPr>
                <w:rFonts w:hint="eastAsia" w:ascii="宋体" w:hAnsi="宋体" w:cs="宋体"/>
                <w:kern w:val="0"/>
                <w:sz w:val="20"/>
                <w:szCs w:val="20"/>
              </w:rPr>
              <w:t>加：以前年度累计结转扣除额</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9</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cs="宋体"/>
                <w:kern w:val="0"/>
                <w:sz w:val="20"/>
                <w:szCs w:val="20"/>
              </w:rPr>
            </w:pPr>
            <w:r>
              <w:rPr>
                <w:rFonts w:hint="eastAsia" w:ascii="宋体" w:hAnsi="宋体" w:cs="宋体"/>
                <w:kern w:val="0"/>
                <w:sz w:val="20"/>
                <w:szCs w:val="20"/>
              </w:rPr>
              <w:t>减：本年扣除的以前年度结转额</w:t>
            </w:r>
          </w:p>
          <w:p>
            <w:pPr>
              <w:widowControl/>
              <w:ind w:firstLine="400" w:firstLineChars="200"/>
              <w:jc w:val="left"/>
              <w:rPr>
                <w:rFonts w:ascii="宋体" w:cs="宋体"/>
                <w:kern w:val="0"/>
                <w:sz w:val="20"/>
                <w:szCs w:val="20"/>
              </w:rPr>
            </w:pPr>
            <w:r>
              <w:rPr>
                <w:rFonts w:ascii="宋体" w:hAnsi="宋体" w:cs="宋体"/>
                <w:kern w:val="0"/>
                <w:sz w:val="20"/>
                <w:szCs w:val="20"/>
              </w:rPr>
              <w:t>[3</w:t>
            </w:r>
            <w:r>
              <w:rPr>
                <w:rFonts w:hint="eastAsia" w:ascii="宋体" w:hAnsi="宋体" w:cs="宋体"/>
                <w:kern w:val="0"/>
                <w:sz w:val="20"/>
                <w:szCs w:val="20"/>
              </w:rPr>
              <w:t>＞</w:t>
            </w:r>
            <w:r>
              <w:rPr>
                <w:rFonts w:ascii="宋体" w:hAnsi="宋体" w:cs="宋体"/>
                <w:kern w:val="0"/>
                <w:sz w:val="20"/>
                <w:szCs w:val="20"/>
              </w:rPr>
              <w:t>6</w:t>
            </w:r>
            <w:r>
              <w:rPr>
                <w:rFonts w:hint="eastAsia" w:ascii="宋体" w:hAnsi="宋体" w:cs="宋体"/>
                <w:kern w:val="0"/>
                <w:sz w:val="20"/>
                <w:szCs w:val="20"/>
              </w:rPr>
              <w:t>，本行</w:t>
            </w:r>
            <w:r>
              <w:rPr>
                <w:rFonts w:ascii="宋体" w:hAnsi="宋体" w:cs="宋体"/>
                <w:kern w:val="0"/>
                <w:sz w:val="20"/>
                <w:szCs w:val="20"/>
              </w:rPr>
              <w:t>=0</w:t>
            </w:r>
            <w:r>
              <w:rPr>
                <w:rFonts w:hint="eastAsia" w:ascii="宋体" w:hAnsi="宋体" w:cs="宋体"/>
                <w:kern w:val="0"/>
                <w:sz w:val="20"/>
                <w:szCs w:val="20"/>
              </w:rPr>
              <w:t>；</w:t>
            </w:r>
            <w:r>
              <w:rPr>
                <w:rFonts w:ascii="宋体" w:hAnsi="宋体" w:cs="宋体"/>
                <w:kern w:val="0"/>
                <w:sz w:val="20"/>
                <w:szCs w:val="20"/>
              </w:rPr>
              <w:t>3</w:t>
            </w:r>
            <w:r>
              <w:rPr>
                <w:rFonts w:hint="eastAsia" w:ascii="宋体" w:hAnsi="宋体" w:cs="宋体"/>
                <w:kern w:val="0"/>
                <w:sz w:val="20"/>
                <w:szCs w:val="20"/>
              </w:rPr>
              <w:t>≤</w:t>
            </w:r>
            <w:r>
              <w:rPr>
                <w:rFonts w:ascii="宋体" w:hAnsi="宋体" w:cs="宋体"/>
                <w:kern w:val="0"/>
                <w:sz w:val="20"/>
                <w:szCs w:val="20"/>
              </w:rPr>
              <w:t>6</w:t>
            </w:r>
            <w:r>
              <w:rPr>
                <w:rFonts w:hint="eastAsia" w:ascii="宋体" w:hAnsi="宋体" w:cs="宋体"/>
                <w:kern w:val="0"/>
                <w:sz w:val="20"/>
                <w:szCs w:val="20"/>
              </w:rPr>
              <w:t>，本行</w:t>
            </w:r>
            <w:r>
              <w:rPr>
                <w:rFonts w:ascii="宋体" w:hAnsi="宋体" w:cs="宋体"/>
                <w:kern w:val="0"/>
                <w:sz w:val="20"/>
                <w:szCs w:val="20"/>
              </w:rPr>
              <w:t>=8</w:t>
            </w:r>
            <w:r>
              <w:rPr>
                <w:rFonts w:hint="eastAsia" w:ascii="宋体" w:hAnsi="宋体" w:cs="宋体"/>
                <w:kern w:val="0"/>
                <w:sz w:val="20"/>
                <w:szCs w:val="20"/>
              </w:rPr>
              <w:t>与（</w:t>
            </w:r>
            <w:r>
              <w:rPr>
                <w:rFonts w:ascii="宋体" w:hAnsi="宋体" w:cs="宋体"/>
                <w:kern w:val="0"/>
                <w:sz w:val="20"/>
                <w:szCs w:val="20"/>
              </w:rPr>
              <w:t>6-3</w:t>
            </w:r>
            <w:r>
              <w:rPr>
                <w:rFonts w:hint="eastAsia" w:ascii="宋体" w:hAnsi="宋体" w:cs="宋体"/>
                <w:kern w:val="0"/>
                <w:sz w:val="20"/>
                <w:szCs w:val="20"/>
              </w:rPr>
              <w:t>）孰小值</w:t>
            </w:r>
            <w:r>
              <w:rPr>
                <w:rFonts w:ascii="宋体" w:hAnsi="宋体" w:cs="宋体"/>
                <w:kern w:val="0"/>
                <w:sz w:val="20"/>
                <w:szCs w:val="20"/>
              </w:rPr>
              <w:t>]</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jc w:val="cente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10</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六、按照分摊协议归集至其他关联方的金额（</w:t>
            </w:r>
            <w:r>
              <w:rPr>
                <w:rFonts w:ascii="宋体" w:hAnsi="宋体" w:cs="宋体"/>
                <w:kern w:val="0"/>
                <w:sz w:val="20"/>
                <w:szCs w:val="20"/>
              </w:rPr>
              <w:t>10</w:t>
            </w:r>
            <w:r>
              <w:rPr>
                <w:rFonts w:hint="eastAsia" w:ascii="宋体" w:hAnsi="宋体" w:cs="宋体"/>
                <w:kern w:val="0"/>
                <w:sz w:val="20"/>
                <w:szCs w:val="20"/>
              </w:rPr>
              <w:t>≤</w:t>
            </w:r>
            <w:r>
              <w:rPr>
                <w:rFonts w:ascii="宋体" w:hAnsi="宋体" w:cs="宋体"/>
                <w:kern w:val="0"/>
                <w:sz w:val="20"/>
                <w:szCs w:val="20"/>
              </w:rPr>
              <w:t>3</w:t>
            </w:r>
            <w:r>
              <w:rPr>
                <w:rFonts w:hint="eastAsia" w:ascii="宋体" w:hAnsi="宋体" w:cs="宋体"/>
                <w:kern w:val="0"/>
                <w:sz w:val="20"/>
                <w:szCs w:val="20"/>
              </w:rPr>
              <w:t>与</w:t>
            </w:r>
            <w:r>
              <w:rPr>
                <w:rFonts w:ascii="宋体" w:hAnsi="宋体" w:cs="宋体"/>
                <w:kern w:val="0"/>
                <w:sz w:val="20"/>
                <w:szCs w:val="20"/>
              </w:rPr>
              <w:t>6</w:t>
            </w:r>
            <w:r>
              <w:rPr>
                <w:rFonts w:hint="eastAsia" w:ascii="宋体" w:hAnsi="宋体" w:cs="宋体"/>
                <w:kern w:val="0"/>
                <w:sz w:val="20"/>
                <w:szCs w:val="20"/>
              </w:rPr>
              <w:t>孰小值）</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jc w:val="cente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11</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cs="宋体"/>
                <w:kern w:val="0"/>
                <w:sz w:val="20"/>
                <w:szCs w:val="20"/>
              </w:rPr>
            </w:pPr>
            <w:r>
              <w:rPr>
                <w:rFonts w:hint="eastAsia" w:ascii="宋体" w:hAnsi="宋体" w:cs="宋体"/>
                <w:kern w:val="0"/>
                <w:sz w:val="20"/>
                <w:szCs w:val="20"/>
              </w:rPr>
              <w:t>按照分摊协议从其他关联方归集至本企业的金额</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jc w:val="center"/>
            </w:pPr>
            <w:r>
              <w:rPr>
                <w:rFonts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12</w:t>
            </w:r>
          </w:p>
        </w:tc>
        <w:tc>
          <w:tcPr>
            <w:tcW w:w="695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七、本年支出纳税调整金额</w:t>
            </w:r>
            <w:r>
              <w:rPr>
                <w:rFonts w:ascii="宋体" w:cs="宋体"/>
                <w:kern w:val="0"/>
                <w:sz w:val="20"/>
                <w:szCs w:val="20"/>
              </w:rPr>
              <w:br w:type="textWrapping"/>
            </w:r>
            <w:r>
              <w:rPr>
                <w:rFonts w:hint="eastAsia" w:ascii="宋体" w:hAnsi="宋体" w:cs="宋体"/>
                <w:kern w:val="0"/>
                <w:sz w:val="20"/>
                <w:szCs w:val="20"/>
              </w:rPr>
              <w:t>（</w:t>
            </w:r>
            <w:r>
              <w:rPr>
                <w:rFonts w:ascii="宋体" w:hAnsi="宋体" w:cs="宋体"/>
                <w:kern w:val="0"/>
                <w:sz w:val="20"/>
                <w:szCs w:val="20"/>
              </w:rPr>
              <w:t>3</w:t>
            </w:r>
            <w:r>
              <w:rPr>
                <w:rFonts w:hint="eastAsia" w:ascii="宋体" w:hAnsi="宋体" w:cs="宋体"/>
                <w:kern w:val="0"/>
                <w:sz w:val="20"/>
                <w:szCs w:val="20"/>
              </w:rPr>
              <w:t>＞</w:t>
            </w:r>
            <w:r>
              <w:rPr>
                <w:rFonts w:ascii="宋体" w:hAnsi="宋体" w:cs="宋体"/>
                <w:kern w:val="0"/>
                <w:sz w:val="20"/>
                <w:szCs w:val="20"/>
              </w:rPr>
              <w:t>6</w:t>
            </w:r>
            <w:r>
              <w:rPr>
                <w:rFonts w:hint="eastAsia" w:ascii="宋体" w:hAnsi="宋体" w:cs="宋体"/>
                <w:kern w:val="0"/>
                <w:sz w:val="20"/>
                <w:szCs w:val="20"/>
              </w:rPr>
              <w:t>，本行</w:t>
            </w:r>
            <w:r>
              <w:rPr>
                <w:rFonts w:ascii="宋体" w:hAnsi="宋体" w:cs="宋体"/>
                <w:kern w:val="0"/>
                <w:sz w:val="20"/>
                <w:szCs w:val="20"/>
              </w:rPr>
              <w:t>=2+3-6+10-11</w:t>
            </w:r>
            <w:r>
              <w:rPr>
                <w:rFonts w:hint="eastAsia" w:ascii="宋体" w:hAnsi="宋体" w:cs="宋体"/>
                <w:kern w:val="0"/>
                <w:sz w:val="20"/>
                <w:szCs w:val="20"/>
              </w:rPr>
              <w:t>；</w:t>
            </w:r>
            <w:r>
              <w:rPr>
                <w:rFonts w:ascii="宋体" w:hAnsi="宋体" w:cs="宋体"/>
                <w:kern w:val="0"/>
                <w:sz w:val="20"/>
                <w:szCs w:val="20"/>
              </w:rPr>
              <w:t>3</w:t>
            </w:r>
            <w:r>
              <w:rPr>
                <w:rFonts w:hint="eastAsia" w:ascii="宋体" w:hAnsi="宋体" w:cs="宋体"/>
                <w:kern w:val="0"/>
                <w:sz w:val="20"/>
                <w:szCs w:val="20"/>
              </w:rPr>
              <w:t>≤</w:t>
            </w:r>
            <w:r>
              <w:rPr>
                <w:rFonts w:ascii="宋体" w:hAnsi="宋体" w:cs="宋体"/>
                <w:kern w:val="0"/>
                <w:sz w:val="20"/>
                <w:szCs w:val="20"/>
              </w:rPr>
              <w:t>6</w:t>
            </w:r>
            <w:r>
              <w:rPr>
                <w:rFonts w:hint="eastAsia" w:ascii="宋体" w:hAnsi="宋体" w:cs="宋体"/>
                <w:kern w:val="0"/>
                <w:sz w:val="20"/>
                <w:szCs w:val="20"/>
              </w:rPr>
              <w:t>，本行</w:t>
            </w:r>
            <w:r>
              <w:rPr>
                <w:rFonts w:ascii="宋体" w:hAnsi="宋体" w:cs="宋体"/>
                <w:kern w:val="0"/>
                <w:sz w:val="20"/>
                <w:szCs w:val="20"/>
              </w:rPr>
              <w:t>=2+10-11-9</w:t>
            </w:r>
            <w:r>
              <w:rPr>
                <w:rFonts w:hint="eastAsia" w:ascii="宋体" w:hAnsi="宋体" w:cs="宋体"/>
                <w:kern w:val="0"/>
                <w:sz w:val="20"/>
                <w:szCs w:val="20"/>
              </w:rPr>
              <w:t>）</w:t>
            </w:r>
          </w:p>
        </w:tc>
        <w:tc>
          <w:tcPr>
            <w:tcW w:w="127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40" w:type="dxa"/>
            <w:tcBorders>
              <w:top w:val="single" w:color="auto" w:sz="6" w:space="0"/>
              <w:left w:val="single" w:color="auto" w:sz="12" w:space="0"/>
              <w:bottom w:val="single" w:color="auto" w:sz="12"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13</w:t>
            </w:r>
          </w:p>
        </w:tc>
        <w:tc>
          <w:tcPr>
            <w:tcW w:w="6956" w:type="dxa"/>
            <w:tcBorders>
              <w:top w:val="single" w:color="auto" w:sz="6" w:space="0"/>
              <w:left w:val="single" w:color="auto" w:sz="6" w:space="0"/>
              <w:bottom w:val="single" w:color="auto" w:sz="12"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八、累计结转以后年度扣除额（</w:t>
            </w:r>
            <w:r>
              <w:rPr>
                <w:rFonts w:ascii="宋体" w:hAnsi="宋体" w:cs="宋体"/>
                <w:kern w:val="0"/>
                <w:sz w:val="20"/>
                <w:szCs w:val="20"/>
              </w:rPr>
              <w:t>7+8-9</w:t>
            </w:r>
            <w:r>
              <w:rPr>
                <w:rFonts w:hint="eastAsia" w:ascii="宋体" w:hAnsi="宋体" w:cs="宋体"/>
                <w:kern w:val="0"/>
                <w:sz w:val="20"/>
                <w:szCs w:val="20"/>
              </w:rPr>
              <w:t>）</w:t>
            </w:r>
          </w:p>
        </w:tc>
        <w:tc>
          <w:tcPr>
            <w:tcW w:w="1276" w:type="dxa"/>
            <w:tcBorders>
              <w:top w:val="single" w:color="auto" w:sz="6" w:space="0"/>
              <w:left w:val="single" w:color="auto" w:sz="6" w:space="0"/>
              <w:bottom w:val="single" w:color="auto" w:sz="12"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76" w:type="dxa"/>
            <w:tcBorders>
              <w:top w:val="single" w:color="auto" w:sz="6" w:space="0"/>
              <w:left w:val="single" w:color="auto" w:sz="6" w:space="0"/>
              <w:bottom w:val="single" w:color="auto" w:sz="12" w:space="0"/>
              <w:right w:val="single" w:color="auto" w:sz="12" w:space="0"/>
            </w:tcBorders>
            <w:noWrap w:val="0"/>
            <w:vAlign w:val="center"/>
          </w:tcPr>
          <w:p>
            <w:pPr>
              <w:widowControl/>
              <w:jc w:val="center"/>
              <w:rPr>
                <w:rFonts w:ascii="宋体" w:cs="宋体"/>
                <w:kern w:val="0"/>
                <w:sz w:val="20"/>
                <w:szCs w:val="20"/>
              </w:rPr>
            </w:pPr>
          </w:p>
        </w:tc>
      </w:tr>
    </w:tbl>
    <w:p>
      <w:pPr>
        <w:pStyle w:val="4"/>
        <w:bidi w:val="0"/>
        <w:rPr>
          <w:rFonts w:hint="eastAsia"/>
          <w:lang w:eastAsia="zh-CN"/>
        </w:rPr>
      </w:pPr>
      <w:r>
        <w:rPr>
          <w:rFonts w:hint="eastAsia"/>
          <w:lang w:eastAsia="zh-CN"/>
        </w:rPr>
        <w:t>A105060</w:t>
      </w:r>
      <w:r>
        <w:rPr>
          <w:rFonts w:hint="eastAsia"/>
          <w:lang w:eastAsia="zh-CN"/>
        </w:rPr>
        <w:tab/>
      </w:r>
      <w:r>
        <w:rPr>
          <w:rFonts w:hint="eastAsia"/>
          <w:lang w:eastAsia="zh-CN"/>
        </w:rPr>
        <w:t>《广告费和业务宣传费等跨年度纳税调整明细表》填报说明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本表适用于发生广告费和业务宣传费纳税调整项目（含广告费和业务宣传费结转），保险企业手续费及佣金支出纳税调整项目（含保险企业手续费及佣金支出结转）的纳税人填报。纳税人根据税法、《财政部 国家税务总局关于广告费和业务宣传费支出税前扣除政策的通知》（财税〔2012〕48号）、《财政部 税务总局关于保险企业手续费及佣金支出税前扣除政策的公告》（财政部 税务总局公告2019年第72号）等相关规定，以及国家统一企业会计制度，填报广告费和业务宣传费、保险企业手续费及佣金支出会计处理、税收规定，以及跨年度纳税调整情况。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 第1列“广告费和业务宣传费”：填报广告费和业务宣传费会计处理、税收规定，以及跨年度纳税调整情况。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2、第2列“保险企业手续费及佣金支出”：填报保险企业手续费及佣金支出会计处理、税收规定，以及跨年度纳税调整情况。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1、第1行“一、本年支出”：填报纳税人计入本年损益的支出金额。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2、第2行“减：不允许扣除的支出”：填报税收规定不允许扣除的支出金额。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3、第3行“二、本年符合条件的支出”：填报第1-2行的余额。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三、本年计算扣除限额的基数”：填报按照税收规定计算扣除限额的基数。“广告费和业务宣传费”列次填写计算扣除限额的当年销售（营业）收入。“保险企业手续费及佣金支出”列次填报当年保险企业全部保费收入扣除退保金等后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5、第5行“税收规定扣除率”：填报税收规定的扣除比例。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6、第6行“四、本企业计算的扣除限额”：填报第4×5行的金额。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7、第7行“五、本年结转以后年度扣除额”：若第3行＞第6行,填报第3-6行的余额；若第3行≤第6行,填报0。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8、第8行“加：以前年度累计结转扣除额”：填报以前年度允许税前扣除但超过扣除限额未扣除、结转扣除的支出金额。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9、第9行“减：本年扣除的以前年度结转额”：若第3行＞第6行,填0；若第3行≤第6行,填报第6-3行与第8行的孰小值。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行“六、按照分摊协议归集至其他关联方的金额”：本行第1列填报签订广告费和业务宣传费分摊协议（以下简称分摊协议）的关联企业的一方，按照分摊协议，将其发生的不超过当年销售（营业）收入税前扣除限额比例内的广告费和业务宣传费支出归集至其他关联方扣除的广告费和业务宣传费，本行应≤第3行与第6行的孰小值。本行第2列不可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行“按照分摊协议从其他关联方归集至本企业的金额”：本行第1列填报签订广告费和业务宣传费分摊协议（以下简称分摊协议）的关联企业的一方，按照分摊协议，从其他关联方归集至本企业的广告费和业务宣传费。本行第2列不可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12、第12行“七、本年支出纳税调整金额”：若第3行＞第6行,填报第2+3-6+10-11行的金额；若第3行≤第6行,填报第2+10-11-9行的金额。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13、第13行“八、累计结转以后年度扣除额”：填报第7+8-9行的金额。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1、第3行＝第1-2行。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2、第6行＝第4×5行。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3、若第3＞6行，第7行＝第3-6行；若第3≤6行,第7行＝0。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4、若第3＞6行，第9行＝0；若第3≤6行,第9行＝第8行与第6-3行的孰小值。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5、若第3＞6行，第12行＝2+3-6+10-11行；若第3≤6行,第12行＝第2-9+10-11行。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6、第13行＝第7+8-9行。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1、若第12行第1列≥0，第12行第1列＝表A105000第16行第3列；若第12行第1列＜0，第12行第1列的绝对值＝表A105000第16行第4列。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保险企业：第1行第2列=表A105000第23行第1列。若第3行第2列≥第6行第2列，第6行第2列=表A105000第23行第2列；若第3行第2列＜第6行第2列，第3行第2列+第9行第2列=表A105000第23行第2列。若第12行第2列≥0，第12行第2列=表A105000第23行第3列。若第12行第2列＜0，第12行第2列的绝对值=表A105000第23行第4列。</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A105070</w:t>
      </w:r>
      <w:r>
        <w:rPr>
          <w:rFonts w:hint="eastAsia"/>
          <w:lang w:eastAsia="zh-CN"/>
        </w:rPr>
        <w:tab/>
      </w:r>
      <w:r>
        <w:rPr>
          <w:rFonts w:hint="eastAsia"/>
          <w:lang w:eastAsia="zh-CN"/>
        </w:rPr>
        <w:t>捐赠支出及纳税调整明细表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tbl>
      <w:tblPr>
        <w:tblStyle w:val="8"/>
        <w:tblW w:w="11310"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59"/>
        <w:gridCol w:w="1365"/>
        <w:gridCol w:w="480"/>
        <w:gridCol w:w="1742"/>
        <w:gridCol w:w="965"/>
        <w:gridCol w:w="966"/>
        <w:gridCol w:w="966"/>
        <w:gridCol w:w="966"/>
        <w:gridCol w:w="966"/>
        <w:gridCol w:w="966"/>
        <w:gridCol w:w="96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10" w:hRule="atLeast"/>
          <w:jc w:val="center"/>
        </w:trPr>
        <w:tc>
          <w:tcPr>
            <w:tcW w:w="959" w:type="dxa"/>
            <w:vMerge w:val="restart"/>
            <w:tcBorders>
              <w:bottom w:val="single" w:color="000000" w:sz="6" w:space="0"/>
              <w:right w:val="single" w:color="000000" w:sz="6" w:space="0"/>
            </w:tcBorders>
            <w:noWrap w:val="0"/>
            <w:vAlign w:val="top"/>
          </w:tcPr>
          <w:p>
            <w:pPr>
              <w:pStyle w:val="11"/>
              <w:rPr>
                <w:b/>
                <w:sz w:val="20"/>
              </w:rPr>
            </w:pPr>
          </w:p>
          <w:p>
            <w:pPr>
              <w:pStyle w:val="11"/>
              <w:spacing w:before="3"/>
              <w:rPr>
                <w:b/>
                <w:sz w:val="23"/>
              </w:rPr>
            </w:pPr>
          </w:p>
          <w:p>
            <w:pPr>
              <w:pStyle w:val="11"/>
              <w:ind w:left="399"/>
              <w:rPr>
                <w:sz w:val="20"/>
              </w:rPr>
            </w:pPr>
            <w:r>
              <w:rPr>
                <w:sz w:val="20"/>
              </w:rPr>
              <w:t>行次</w:t>
            </w:r>
          </w:p>
        </w:tc>
        <w:tc>
          <w:tcPr>
            <w:tcW w:w="3587" w:type="dxa"/>
            <w:gridSpan w:val="3"/>
            <w:vMerge w:val="restart"/>
            <w:tcBorders>
              <w:left w:val="single" w:color="000000" w:sz="6" w:space="0"/>
              <w:bottom w:val="single" w:color="000000" w:sz="6" w:space="0"/>
              <w:right w:val="single" w:color="000000" w:sz="6" w:space="0"/>
            </w:tcBorders>
            <w:noWrap w:val="0"/>
            <w:vAlign w:val="top"/>
          </w:tcPr>
          <w:p>
            <w:pPr>
              <w:pStyle w:val="11"/>
              <w:rPr>
                <w:b/>
                <w:sz w:val="20"/>
              </w:rPr>
            </w:pPr>
          </w:p>
          <w:p>
            <w:pPr>
              <w:pStyle w:val="11"/>
              <w:spacing w:before="3"/>
              <w:rPr>
                <w:b/>
                <w:sz w:val="23"/>
              </w:rPr>
            </w:pPr>
          </w:p>
          <w:p>
            <w:pPr>
              <w:pStyle w:val="11"/>
              <w:ind w:left="2027" w:right="2002"/>
              <w:jc w:val="center"/>
              <w:rPr>
                <w:sz w:val="20"/>
              </w:rPr>
            </w:pPr>
            <w:r>
              <w:rPr>
                <w:sz w:val="20"/>
              </w:rPr>
              <w:t>项目</w:t>
            </w:r>
          </w:p>
        </w:tc>
        <w:tc>
          <w:tcPr>
            <w:tcW w:w="965" w:type="dxa"/>
            <w:tcBorders>
              <w:left w:val="single" w:color="000000" w:sz="6" w:space="0"/>
              <w:bottom w:val="single" w:color="000000" w:sz="6" w:space="0"/>
              <w:right w:val="single" w:color="000000" w:sz="6" w:space="0"/>
            </w:tcBorders>
            <w:noWrap w:val="0"/>
            <w:vAlign w:val="top"/>
          </w:tcPr>
          <w:p>
            <w:pPr>
              <w:pStyle w:val="11"/>
              <w:rPr>
                <w:b/>
                <w:sz w:val="20"/>
              </w:rPr>
            </w:pPr>
          </w:p>
          <w:p>
            <w:pPr>
              <w:pStyle w:val="11"/>
              <w:spacing w:before="135"/>
              <w:ind w:left="190" w:right="162"/>
              <w:jc w:val="center"/>
              <w:rPr>
                <w:sz w:val="20"/>
              </w:rPr>
            </w:pPr>
            <w:r>
              <w:rPr>
                <w:sz w:val="20"/>
              </w:rPr>
              <w:t>账载金额</w:t>
            </w:r>
          </w:p>
        </w:tc>
        <w:tc>
          <w:tcPr>
            <w:tcW w:w="966" w:type="dxa"/>
            <w:tcBorders>
              <w:left w:val="single" w:color="000000" w:sz="6" w:space="0"/>
              <w:bottom w:val="single" w:color="000000" w:sz="6" w:space="0"/>
              <w:right w:val="single" w:color="000000" w:sz="6" w:space="0"/>
            </w:tcBorders>
            <w:noWrap w:val="0"/>
            <w:vAlign w:val="top"/>
          </w:tcPr>
          <w:p>
            <w:pPr>
              <w:pStyle w:val="11"/>
              <w:spacing w:before="2" w:line="242" w:lineRule="auto"/>
              <w:ind w:left="210" w:right="181"/>
              <w:jc w:val="both"/>
              <w:rPr>
                <w:sz w:val="20"/>
              </w:rPr>
            </w:pPr>
            <w:r>
              <w:rPr>
                <w:sz w:val="20"/>
              </w:rPr>
              <w:t>以前年度结转可扣除的捐赠</w:t>
            </w:r>
          </w:p>
          <w:p>
            <w:pPr>
              <w:pStyle w:val="11"/>
              <w:spacing w:before="1" w:line="238" w:lineRule="exact"/>
              <w:ind w:left="26"/>
              <w:jc w:val="center"/>
              <w:rPr>
                <w:sz w:val="20"/>
              </w:rPr>
            </w:pPr>
            <w:r>
              <w:rPr>
                <w:w w:val="99"/>
                <w:sz w:val="20"/>
              </w:rPr>
              <w:t>额</w:t>
            </w:r>
          </w:p>
        </w:tc>
        <w:tc>
          <w:tcPr>
            <w:tcW w:w="966" w:type="dxa"/>
            <w:tcBorders>
              <w:left w:val="single" w:color="000000" w:sz="6" w:space="0"/>
              <w:bottom w:val="single" w:color="000000" w:sz="6" w:space="0"/>
              <w:right w:val="single" w:color="000000" w:sz="6" w:space="0"/>
            </w:tcBorders>
            <w:noWrap w:val="0"/>
            <w:vAlign w:val="top"/>
          </w:tcPr>
          <w:p>
            <w:pPr>
              <w:pStyle w:val="11"/>
              <w:spacing w:before="132" w:line="242" w:lineRule="auto"/>
              <w:ind w:left="211" w:right="180"/>
              <w:jc w:val="both"/>
              <w:rPr>
                <w:sz w:val="20"/>
              </w:rPr>
            </w:pPr>
            <w:r>
              <w:rPr>
                <w:sz w:val="20"/>
              </w:rPr>
              <w:t>按税收规定计算的扣除限额</w:t>
            </w:r>
          </w:p>
        </w:tc>
        <w:tc>
          <w:tcPr>
            <w:tcW w:w="966" w:type="dxa"/>
            <w:tcBorders>
              <w:left w:val="single" w:color="000000" w:sz="6" w:space="0"/>
              <w:bottom w:val="single" w:color="000000" w:sz="6" w:space="0"/>
              <w:right w:val="single" w:color="000000" w:sz="6" w:space="0"/>
            </w:tcBorders>
            <w:noWrap w:val="0"/>
            <w:vAlign w:val="top"/>
          </w:tcPr>
          <w:p>
            <w:pPr>
              <w:pStyle w:val="11"/>
              <w:rPr>
                <w:b/>
                <w:sz w:val="20"/>
              </w:rPr>
            </w:pPr>
          </w:p>
          <w:p>
            <w:pPr>
              <w:pStyle w:val="11"/>
              <w:spacing w:before="135"/>
              <w:ind w:left="190" w:right="162"/>
              <w:jc w:val="center"/>
              <w:rPr>
                <w:sz w:val="20"/>
              </w:rPr>
            </w:pPr>
            <w:r>
              <w:rPr>
                <w:sz w:val="20"/>
              </w:rPr>
              <w:t>税收金额</w:t>
            </w:r>
          </w:p>
        </w:tc>
        <w:tc>
          <w:tcPr>
            <w:tcW w:w="966" w:type="dxa"/>
            <w:tcBorders>
              <w:left w:val="single" w:color="000000" w:sz="6" w:space="0"/>
              <w:bottom w:val="single" w:color="000000" w:sz="6" w:space="0"/>
              <w:right w:val="single" w:color="000000" w:sz="6" w:space="0"/>
            </w:tcBorders>
            <w:noWrap w:val="0"/>
            <w:vAlign w:val="top"/>
          </w:tcPr>
          <w:p>
            <w:pPr>
              <w:pStyle w:val="11"/>
              <w:spacing w:before="5"/>
              <w:rPr>
                <w:b/>
                <w:sz w:val="20"/>
              </w:rPr>
            </w:pPr>
          </w:p>
          <w:p>
            <w:pPr>
              <w:pStyle w:val="11"/>
              <w:spacing w:line="242" w:lineRule="auto"/>
              <w:ind w:left="411" w:right="181" w:hanging="202"/>
              <w:rPr>
                <w:sz w:val="20"/>
              </w:rPr>
            </w:pPr>
            <w:r>
              <w:rPr>
                <w:sz w:val="20"/>
              </w:rPr>
              <w:t>纳税调增金额</w:t>
            </w:r>
          </w:p>
        </w:tc>
        <w:tc>
          <w:tcPr>
            <w:tcW w:w="966" w:type="dxa"/>
            <w:tcBorders>
              <w:left w:val="single" w:color="000000" w:sz="6" w:space="0"/>
              <w:bottom w:val="single" w:color="000000" w:sz="6" w:space="0"/>
              <w:right w:val="single" w:color="000000" w:sz="6" w:space="0"/>
            </w:tcBorders>
            <w:noWrap w:val="0"/>
            <w:vAlign w:val="top"/>
          </w:tcPr>
          <w:p>
            <w:pPr>
              <w:pStyle w:val="11"/>
              <w:spacing w:before="5"/>
              <w:rPr>
                <w:b/>
                <w:sz w:val="20"/>
              </w:rPr>
            </w:pPr>
          </w:p>
          <w:p>
            <w:pPr>
              <w:pStyle w:val="11"/>
              <w:spacing w:line="242" w:lineRule="auto"/>
              <w:ind w:left="411" w:right="180" w:hanging="200"/>
              <w:rPr>
                <w:sz w:val="20"/>
              </w:rPr>
            </w:pPr>
            <w:r>
              <w:rPr>
                <w:sz w:val="20"/>
              </w:rPr>
              <w:t>纳税调减金额</w:t>
            </w:r>
          </w:p>
        </w:tc>
        <w:tc>
          <w:tcPr>
            <w:tcW w:w="969" w:type="dxa"/>
            <w:tcBorders>
              <w:left w:val="single" w:color="000000" w:sz="6" w:space="0"/>
              <w:bottom w:val="single" w:color="000000" w:sz="6" w:space="0"/>
            </w:tcBorders>
            <w:noWrap w:val="0"/>
            <w:vAlign w:val="top"/>
          </w:tcPr>
          <w:p>
            <w:pPr>
              <w:pStyle w:val="11"/>
              <w:spacing w:before="2" w:line="242" w:lineRule="auto"/>
              <w:ind w:left="213" w:right="175"/>
              <w:jc w:val="both"/>
              <w:rPr>
                <w:sz w:val="20"/>
              </w:rPr>
            </w:pPr>
            <w:r>
              <w:rPr>
                <w:sz w:val="20"/>
              </w:rPr>
              <w:t>可结转以后年度扣除的捐赠</w:t>
            </w:r>
          </w:p>
          <w:p>
            <w:pPr>
              <w:pStyle w:val="11"/>
              <w:spacing w:before="1" w:line="238" w:lineRule="exact"/>
              <w:ind w:left="36"/>
              <w:jc w:val="center"/>
              <w:rPr>
                <w:sz w:val="20"/>
              </w:rPr>
            </w:pPr>
            <w:r>
              <w:rPr>
                <w:w w:val="99"/>
                <w:sz w:val="20"/>
              </w:rPr>
              <w:t>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5" w:hRule="atLeast"/>
          <w:jc w:val="center"/>
        </w:trPr>
        <w:tc>
          <w:tcPr>
            <w:tcW w:w="959" w:type="dxa"/>
            <w:vMerge w:val="continue"/>
            <w:tcBorders>
              <w:top w:val="nil"/>
              <w:bottom w:val="single" w:color="000000" w:sz="6" w:space="0"/>
              <w:right w:val="single" w:color="000000" w:sz="6" w:space="0"/>
            </w:tcBorders>
            <w:noWrap w:val="0"/>
            <w:vAlign w:val="top"/>
          </w:tcPr>
          <w:p>
            <w:pPr>
              <w:rPr>
                <w:sz w:val="2"/>
                <w:szCs w:val="2"/>
              </w:rPr>
            </w:pPr>
          </w:p>
        </w:tc>
        <w:tc>
          <w:tcPr>
            <w:tcW w:w="3587" w:type="dxa"/>
            <w:gridSpan w:val="3"/>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9"/>
              <w:ind w:left="29"/>
              <w:jc w:val="center"/>
              <w:rPr>
                <w:sz w:val="20"/>
              </w:rPr>
            </w:pPr>
            <w:r>
              <w:rPr>
                <w:w w:val="99"/>
                <w:sz w:val="20"/>
              </w:rPr>
              <w:t>1</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9"/>
              <w:ind w:right="530"/>
              <w:jc w:val="right"/>
              <w:rPr>
                <w:sz w:val="20"/>
              </w:rPr>
            </w:pPr>
            <w:r>
              <w:rPr>
                <w:w w:val="99"/>
                <w:sz w:val="20"/>
              </w:rPr>
              <w:t>2</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9"/>
              <w:ind w:left="26"/>
              <w:jc w:val="center"/>
              <w:rPr>
                <w:sz w:val="20"/>
              </w:rPr>
            </w:pPr>
            <w:r>
              <w:rPr>
                <w:w w:val="99"/>
                <w:sz w:val="20"/>
              </w:rPr>
              <w:t>3</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9"/>
              <w:ind w:left="29"/>
              <w:jc w:val="center"/>
              <w:rPr>
                <w:sz w:val="20"/>
              </w:rPr>
            </w:pPr>
            <w:r>
              <w:rPr>
                <w:w w:val="99"/>
                <w:sz w:val="20"/>
              </w:rPr>
              <w:t>4</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9"/>
              <w:ind w:left="27"/>
              <w:jc w:val="center"/>
              <w:rPr>
                <w:sz w:val="20"/>
              </w:rPr>
            </w:pPr>
            <w:r>
              <w:rPr>
                <w:w w:val="99"/>
                <w:sz w:val="20"/>
              </w:rPr>
              <w:t>5</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9"/>
              <w:ind w:left="26"/>
              <w:jc w:val="center"/>
              <w:rPr>
                <w:sz w:val="20"/>
              </w:rPr>
            </w:pPr>
            <w:r>
              <w:rPr>
                <w:w w:val="99"/>
                <w:sz w:val="20"/>
              </w:rPr>
              <w:t>6</w:t>
            </w:r>
          </w:p>
        </w:tc>
        <w:tc>
          <w:tcPr>
            <w:tcW w:w="969" w:type="dxa"/>
            <w:tcBorders>
              <w:top w:val="single" w:color="000000" w:sz="6" w:space="0"/>
              <w:left w:val="single" w:color="000000" w:sz="6" w:space="0"/>
              <w:bottom w:val="single" w:color="000000" w:sz="6" w:space="0"/>
            </w:tcBorders>
            <w:noWrap w:val="0"/>
            <w:vAlign w:val="top"/>
          </w:tcPr>
          <w:p>
            <w:pPr>
              <w:pStyle w:val="11"/>
              <w:spacing w:before="29"/>
              <w:ind w:left="37"/>
              <w:jc w:val="center"/>
              <w:rPr>
                <w:sz w:val="20"/>
              </w:rPr>
            </w:pPr>
            <w:r>
              <w:rPr>
                <w:w w:val="99"/>
                <w:sz w:val="20"/>
              </w:rPr>
              <w:t>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7"/>
              <w:ind w:left="19"/>
              <w:jc w:val="center"/>
              <w:rPr>
                <w:sz w:val="20"/>
              </w:rPr>
            </w:pPr>
            <w:r>
              <w:rPr>
                <w:w w:val="99"/>
                <w:sz w:val="20"/>
              </w:rPr>
              <w:t>1</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4"/>
              <w:rPr>
                <w:sz w:val="20"/>
              </w:rPr>
            </w:pPr>
            <w:r>
              <w:rPr>
                <w:sz w:val="20"/>
              </w:rPr>
              <w:t>一、非公益性捐赠</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right="530"/>
              <w:jc w:val="right"/>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6"/>
              <w:jc w:val="center"/>
              <w:rPr>
                <w:sz w:val="20"/>
              </w:rPr>
            </w:pPr>
            <w:r>
              <w:rPr>
                <w:w w:val="99"/>
                <w:sz w:val="20"/>
              </w:rPr>
              <w:t>*</w:t>
            </w:r>
          </w:p>
        </w:tc>
        <w:tc>
          <w:tcPr>
            <w:tcW w:w="969" w:type="dxa"/>
            <w:tcBorders>
              <w:top w:val="single" w:color="000000" w:sz="6" w:space="0"/>
              <w:left w:val="single" w:color="000000" w:sz="6" w:space="0"/>
              <w:bottom w:val="single" w:color="000000" w:sz="6" w:space="0"/>
            </w:tcBorders>
            <w:noWrap w:val="0"/>
            <w:vAlign w:val="top"/>
          </w:tcPr>
          <w:p>
            <w:pPr>
              <w:pStyle w:val="11"/>
              <w:spacing w:before="97"/>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9"/>
              <w:ind w:left="19"/>
              <w:jc w:val="center"/>
              <w:rPr>
                <w:sz w:val="20"/>
              </w:rPr>
            </w:pPr>
            <w:r>
              <w:rPr>
                <w:w w:val="99"/>
                <w:sz w:val="20"/>
              </w:rPr>
              <w:t>2</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4"/>
              <w:rPr>
                <w:sz w:val="20"/>
              </w:rPr>
            </w:pPr>
            <w:r>
              <w:rPr>
                <w:sz w:val="20"/>
              </w:rPr>
              <w:t>二、限额扣除的公益性捐赠(3+4+5+6)</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9"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8"/>
              <w:ind w:left="19"/>
              <w:jc w:val="center"/>
              <w:rPr>
                <w:sz w:val="20"/>
              </w:rPr>
            </w:pPr>
            <w:r>
              <w:rPr>
                <w:w w:val="99"/>
                <w:sz w:val="20"/>
              </w:rPr>
              <w:t>3</w:t>
            </w:r>
          </w:p>
        </w:tc>
        <w:tc>
          <w:tcPr>
            <w:tcW w:w="1365" w:type="dxa"/>
            <w:tcBorders>
              <w:top w:val="single" w:color="000000" w:sz="6" w:space="0"/>
              <w:left w:val="single" w:color="000000" w:sz="6" w:space="0"/>
              <w:bottom w:val="single" w:color="000000" w:sz="6" w:space="0"/>
              <w:right w:val="nil"/>
            </w:tcBorders>
            <w:noWrap w:val="0"/>
            <w:vAlign w:val="top"/>
          </w:tcPr>
          <w:p>
            <w:pPr>
              <w:pStyle w:val="11"/>
              <w:spacing w:before="98"/>
              <w:ind w:left="515"/>
              <w:rPr>
                <w:sz w:val="20"/>
              </w:rPr>
            </w:pPr>
            <w:r>
              <w:rPr>
                <w:sz w:val="16"/>
                <w:szCs w:val="16"/>
              </w:rPr>
              <w:t>前三年度（</w:t>
            </w:r>
          </w:p>
        </w:tc>
        <w:tc>
          <w:tcPr>
            <w:tcW w:w="480" w:type="dxa"/>
            <w:tcBorders>
              <w:top w:val="single" w:color="000000" w:sz="6" w:space="0"/>
              <w:left w:val="nil"/>
              <w:bottom w:val="single" w:color="000000" w:sz="6" w:space="0"/>
              <w:right w:val="nil"/>
            </w:tcBorders>
            <w:noWrap w:val="0"/>
            <w:vAlign w:val="top"/>
          </w:tcPr>
          <w:p>
            <w:pPr>
              <w:pStyle w:val="11"/>
              <w:rPr>
                <w:rFonts w:ascii="Times New Roman"/>
                <w:sz w:val="20"/>
              </w:rPr>
            </w:pPr>
          </w:p>
        </w:tc>
        <w:tc>
          <w:tcPr>
            <w:tcW w:w="1742" w:type="dxa"/>
            <w:tcBorders>
              <w:top w:val="single" w:color="000000" w:sz="6" w:space="0"/>
              <w:left w:val="nil"/>
              <w:bottom w:val="single" w:color="000000" w:sz="6" w:space="0"/>
              <w:right w:val="single" w:color="000000" w:sz="6" w:space="0"/>
            </w:tcBorders>
            <w:noWrap w:val="0"/>
            <w:vAlign w:val="top"/>
          </w:tcPr>
          <w:p>
            <w:pPr>
              <w:pStyle w:val="11"/>
              <w:spacing w:before="98"/>
              <w:ind w:left="15"/>
              <w:rPr>
                <w:sz w:val="20"/>
              </w:rPr>
            </w:pPr>
            <w:r>
              <w:rPr>
                <w:sz w:val="16"/>
                <w:szCs w:val="16"/>
              </w:rPr>
              <w:t>年）</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9" w:type="dxa"/>
            <w:tcBorders>
              <w:top w:val="single" w:color="000000" w:sz="6" w:space="0"/>
              <w:left w:val="single" w:color="000000" w:sz="6" w:space="0"/>
              <w:bottom w:val="single" w:color="000000" w:sz="6" w:space="0"/>
            </w:tcBorders>
            <w:noWrap w:val="0"/>
            <w:vAlign w:val="top"/>
          </w:tcPr>
          <w:p>
            <w:pPr>
              <w:pStyle w:val="11"/>
              <w:spacing w:before="98"/>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7"/>
              <w:ind w:left="19"/>
              <w:jc w:val="center"/>
              <w:rPr>
                <w:sz w:val="20"/>
              </w:rPr>
            </w:pPr>
            <w:r>
              <w:rPr>
                <w:w w:val="99"/>
                <w:sz w:val="20"/>
              </w:rPr>
              <w:t>4</w:t>
            </w:r>
          </w:p>
        </w:tc>
        <w:tc>
          <w:tcPr>
            <w:tcW w:w="1365" w:type="dxa"/>
            <w:tcBorders>
              <w:top w:val="single" w:color="000000" w:sz="6" w:space="0"/>
              <w:left w:val="single" w:color="000000" w:sz="6" w:space="0"/>
              <w:bottom w:val="single" w:color="000000" w:sz="6" w:space="0"/>
              <w:right w:val="nil"/>
            </w:tcBorders>
            <w:noWrap w:val="0"/>
            <w:vAlign w:val="top"/>
          </w:tcPr>
          <w:p>
            <w:pPr>
              <w:pStyle w:val="11"/>
              <w:spacing w:before="97"/>
              <w:ind w:left="515"/>
              <w:rPr>
                <w:sz w:val="20"/>
              </w:rPr>
            </w:pPr>
            <w:r>
              <w:rPr>
                <w:sz w:val="16"/>
                <w:szCs w:val="16"/>
              </w:rPr>
              <w:t>前二年度（</w:t>
            </w:r>
          </w:p>
        </w:tc>
        <w:tc>
          <w:tcPr>
            <w:tcW w:w="480" w:type="dxa"/>
            <w:tcBorders>
              <w:top w:val="single" w:color="000000" w:sz="6" w:space="0"/>
              <w:left w:val="nil"/>
              <w:bottom w:val="single" w:color="000000" w:sz="6" w:space="0"/>
              <w:right w:val="nil"/>
            </w:tcBorders>
            <w:noWrap w:val="0"/>
            <w:vAlign w:val="top"/>
          </w:tcPr>
          <w:p>
            <w:pPr>
              <w:pStyle w:val="11"/>
              <w:rPr>
                <w:rFonts w:ascii="Times New Roman"/>
                <w:sz w:val="20"/>
              </w:rPr>
            </w:pPr>
          </w:p>
        </w:tc>
        <w:tc>
          <w:tcPr>
            <w:tcW w:w="1742" w:type="dxa"/>
            <w:tcBorders>
              <w:top w:val="single" w:color="000000" w:sz="6" w:space="0"/>
              <w:left w:val="nil"/>
              <w:bottom w:val="single" w:color="000000" w:sz="6" w:space="0"/>
              <w:right w:val="single" w:color="000000" w:sz="6" w:space="0"/>
            </w:tcBorders>
            <w:noWrap w:val="0"/>
            <w:vAlign w:val="top"/>
          </w:tcPr>
          <w:p>
            <w:pPr>
              <w:pStyle w:val="11"/>
              <w:spacing w:before="97"/>
              <w:ind w:left="15"/>
              <w:rPr>
                <w:sz w:val="20"/>
              </w:rPr>
            </w:pPr>
            <w:r>
              <w:rPr>
                <w:sz w:val="16"/>
                <w:szCs w:val="16"/>
              </w:rPr>
              <w:t>年）</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9"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8"/>
              <w:ind w:left="19"/>
              <w:jc w:val="center"/>
              <w:rPr>
                <w:sz w:val="20"/>
              </w:rPr>
            </w:pPr>
            <w:r>
              <w:rPr>
                <w:w w:val="99"/>
                <w:sz w:val="20"/>
              </w:rPr>
              <w:t>5</w:t>
            </w:r>
          </w:p>
        </w:tc>
        <w:tc>
          <w:tcPr>
            <w:tcW w:w="1365" w:type="dxa"/>
            <w:tcBorders>
              <w:top w:val="single" w:color="000000" w:sz="6" w:space="0"/>
              <w:left w:val="single" w:color="000000" w:sz="6" w:space="0"/>
              <w:bottom w:val="single" w:color="000000" w:sz="6" w:space="0"/>
              <w:right w:val="nil"/>
            </w:tcBorders>
            <w:noWrap w:val="0"/>
            <w:vAlign w:val="top"/>
          </w:tcPr>
          <w:p>
            <w:pPr>
              <w:pStyle w:val="11"/>
              <w:spacing w:before="98"/>
              <w:ind w:left="515"/>
              <w:rPr>
                <w:sz w:val="20"/>
              </w:rPr>
            </w:pPr>
            <w:r>
              <w:rPr>
                <w:sz w:val="16"/>
                <w:szCs w:val="16"/>
              </w:rPr>
              <w:t>前一年度（</w:t>
            </w:r>
          </w:p>
        </w:tc>
        <w:tc>
          <w:tcPr>
            <w:tcW w:w="480" w:type="dxa"/>
            <w:tcBorders>
              <w:top w:val="single" w:color="000000" w:sz="6" w:space="0"/>
              <w:left w:val="nil"/>
              <w:bottom w:val="single" w:color="000000" w:sz="6" w:space="0"/>
              <w:right w:val="nil"/>
            </w:tcBorders>
            <w:noWrap w:val="0"/>
            <w:vAlign w:val="top"/>
          </w:tcPr>
          <w:p>
            <w:pPr>
              <w:pStyle w:val="11"/>
              <w:rPr>
                <w:rFonts w:ascii="Times New Roman"/>
                <w:sz w:val="20"/>
              </w:rPr>
            </w:pPr>
          </w:p>
        </w:tc>
        <w:tc>
          <w:tcPr>
            <w:tcW w:w="1742" w:type="dxa"/>
            <w:tcBorders>
              <w:top w:val="single" w:color="000000" w:sz="6" w:space="0"/>
              <w:left w:val="nil"/>
              <w:bottom w:val="single" w:color="000000" w:sz="6" w:space="0"/>
              <w:right w:val="single" w:color="000000" w:sz="6" w:space="0"/>
            </w:tcBorders>
            <w:noWrap w:val="0"/>
            <w:vAlign w:val="top"/>
          </w:tcPr>
          <w:p>
            <w:pPr>
              <w:pStyle w:val="11"/>
              <w:spacing w:before="98"/>
              <w:ind w:left="15"/>
              <w:rPr>
                <w:sz w:val="20"/>
              </w:rPr>
            </w:pPr>
            <w:r>
              <w:rPr>
                <w:sz w:val="16"/>
                <w:szCs w:val="16"/>
              </w:rPr>
              <w:t>年）</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9"/>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9"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7"/>
              <w:ind w:left="19"/>
              <w:jc w:val="center"/>
              <w:rPr>
                <w:sz w:val="20"/>
              </w:rPr>
            </w:pPr>
            <w:r>
              <w:rPr>
                <w:w w:val="99"/>
                <w:sz w:val="20"/>
              </w:rPr>
              <w:t>6</w:t>
            </w:r>
          </w:p>
        </w:tc>
        <w:tc>
          <w:tcPr>
            <w:tcW w:w="1365" w:type="dxa"/>
            <w:tcBorders>
              <w:top w:val="single" w:color="000000" w:sz="6" w:space="0"/>
              <w:left w:val="single" w:color="000000" w:sz="6" w:space="0"/>
              <w:bottom w:val="single" w:color="000000" w:sz="6" w:space="0"/>
              <w:right w:val="nil"/>
            </w:tcBorders>
            <w:noWrap w:val="0"/>
            <w:vAlign w:val="top"/>
          </w:tcPr>
          <w:p>
            <w:pPr>
              <w:pStyle w:val="11"/>
              <w:spacing w:before="97"/>
              <w:ind w:left="515"/>
              <w:rPr>
                <w:sz w:val="20"/>
              </w:rPr>
            </w:pPr>
            <w:r>
              <w:rPr>
                <w:sz w:val="16"/>
                <w:szCs w:val="16"/>
              </w:rPr>
              <w:t>本年（</w:t>
            </w:r>
          </w:p>
        </w:tc>
        <w:tc>
          <w:tcPr>
            <w:tcW w:w="480" w:type="dxa"/>
            <w:tcBorders>
              <w:top w:val="single" w:color="000000" w:sz="6" w:space="0"/>
              <w:left w:val="nil"/>
              <w:bottom w:val="single" w:color="000000" w:sz="6" w:space="0"/>
              <w:right w:val="nil"/>
            </w:tcBorders>
            <w:noWrap w:val="0"/>
            <w:vAlign w:val="top"/>
          </w:tcPr>
          <w:p>
            <w:pPr>
              <w:pStyle w:val="11"/>
              <w:spacing w:before="97"/>
              <w:ind w:left="215" w:right="-15"/>
              <w:rPr>
                <w:sz w:val="20"/>
              </w:rPr>
            </w:pPr>
          </w:p>
        </w:tc>
        <w:tc>
          <w:tcPr>
            <w:tcW w:w="1742" w:type="dxa"/>
            <w:tcBorders>
              <w:top w:val="single" w:color="000000" w:sz="6" w:space="0"/>
              <w:left w:val="nil"/>
              <w:bottom w:val="single" w:color="000000" w:sz="6" w:space="0"/>
              <w:right w:val="single" w:color="000000" w:sz="6" w:space="0"/>
            </w:tcBorders>
            <w:noWrap w:val="0"/>
            <w:vAlign w:val="top"/>
          </w:tcPr>
          <w:p>
            <w:pPr>
              <w:pStyle w:val="11"/>
              <w:rPr>
                <w:rFonts w:ascii="Times New Roman"/>
                <w:sz w:val="20"/>
              </w:rPr>
            </w:pPr>
            <w:r>
              <w:rPr>
                <w:sz w:val="16"/>
                <w:szCs w:val="16"/>
              </w:rPr>
              <w:t>年）</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right="530"/>
              <w:jc w:val="right"/>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26"/>
              <w:jc w:val="center"/>
              <w:rPr>
                <w:sz w:val="20"/>
              </w:rPr>
            </w:pPr>
            <w:r>
              <w:rPr>
                <w:w w:val="99"/>
                <w:sz w:val="20"/>
              </w:rPr>
              <w:t>*</w:t>
            </w:r>
          </w:p>
        </w:tc>
        <w:tc>
          <w:tcPr>
            <w:tcW w:w="969"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9"/>
              <w:ind w:left="19"/>
              <w:jc w:val="center"/>
              <w:rPr>
                <w:sz w:val="20"/>
              </w:rPr>
            </w:pPr>
            <w:r>
              <w:rPr>
                <w:w w:val="99"/>
                <w:sz w:val="20"/>
              </w:rPr>
              <w:t>7</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4"/>
              <w:rPr>
                <w:sz w:val="20"/>
              </w:rPr>
            </w:pPr>
            <w:r>
              <w:rPr>
                <w:sz w:val="20"/>
              </w:rPr>
              <w:t>三、全额扣除的公益性捐赠</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right="530"/>
              <w:jc w:val="right"/>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26"/>
              <w:jc w:val="center"/>
              <w:rPr>
                <w:sz w:val="20"/>
              </w:rPr>
            </w:pPr>
            <w:r>
              <w:rPr>
                <w:w w:val="99"/>
                <w:sz w:val="20"/>
              </w:rPr>
              <w:t>*</w:t>
            </w:r>
          </w:p>
        </w:tc>
        <w:tc>
          <w:tcPr>
            <w:tcW w:w="969" w:type="dxa"/>
            <w:tcBorders>
              <w:top w:val="single" w:color="000000" w:sz="6" w:space="0"/>
              <w:left w:val="single" w:color="000000" w:sz="6" w:space="0"/>
              <w:bottom w:val="single" w:color="000000" w:sz="6" w:space="0"/>
            </w:tcBorders>
            <w:noWrap w:val="0"/>
            <w:vAlign w:val="top"/>
          </w:tcPr>
          <w:p>
            <w:pPr>
              <w:pStyle w:val="11"/>
              <w:spacing w:before="99"/>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8"/>
              <w:ind w:left="19"/>
              <w:jc w:val="center"/>
              <w:rPr>
                <w:sz w:val="20"/>
              </w:rPr>
            </w:pPr>
            <w:r>
              <w:rPr>
                <w:w w:val="99"/>
                <w:sz w:val="20"/>
              </w:rPr>
              <w:t>8</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4"/>
              <w:rPr>
                <w:rFonts w:hint="eastAsia" w:eastAsia="宋体"/>
                <w:sz w:val="20"/>
                <w:lang w:eastAsia="zh-CN"/>
              </w:rPr>
            </w:pPr>
            <w:r>
              <w:rPr>
                <w:sz w:val="20"/>
              </w:rPr>
              <w:t>1</w:t>
            </w:r>
            <w:r>
              <w:rPr>
                <w:rFonts w:hint="eastAsia"/>
                <w:sz w:val="20"/>
                <w:lang w:eastAsia="zh-CN"/>
              </w:rPr>
              <w:t>、</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right="530"/>
              <w:jc w:val="right"/>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9" w:type="dxa"/>
            <w:tcBorders>
              <w:top w:val="single" w:color="000000" w:sz="6" w:space="0"/>
              <w:left w:val="single" w:color="000000" w:sz="6" w:space="0"/>
              <w:bottom w:val="single" w:color="000000" w:sz="6" w:space="0"/>
            </w:tcBorders>
            <w:noWrap w:val="0"/>
            <w:vAlign w:val="top"/>
          </w:tcPr>
          <w:p>
            <w:pPr>
              <w:pStyle w:val="11"/>
              <w:spacing w:before="98"/>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9"/>
              <w:ind w:left="19"/>
              <w:jc w:val="center"/>
              <w:rPr>
                <w:sz w:val="20"/>
              </w:rPr>
            </w:pPr>
            <w:r>
              <w:rPr>
                <w:w w:val="99"/>
                <w:sz w:val="20"/>
              </w:rPr>
              <w:t>9</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4"/>
              <w:rPr>
                <w:rFonts w:hint="eastAsia" w:eastAsia="宋体"/>
                <w:sz w:val="20"/>
                <w:lang w:eastAsia="zh-CN"/>
              </w:rPr>
            </w:pPr>
            <w:r>
              <w:rPr>
                <w:sz w:val="20"/>
              </w:rPr>
              <w:t>2</w:t>
            </w:r>
            <w:r>
              <w:rPr>
                <w:rFonts w:hint="eastAsia"/>
                <w:sz w:val="20"/>
                <w:lang w:eastAsia="zh-CN"/>
              </w:rPr>
              <w:t>、</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right="530"/>
              <w:jc w:val="right"/>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26"/>
              <w:jc w:val="center"/>
              <w:rPr>
                <w:sz w:val="20"/>
              </w:rPr>
            </w:pPr>
            <w:r>
              <w:rPr>
                <w:w w:val="99"/>
                <w:sz w:val="20"/>
              </w:rPr>
              <w:t>*</w:t>
            </w:r>
          </w:p>
        </w:tc>
        <w:tc>
          <w:tcPr>
            <w:tcW w:w="969" w:type="dxa"/>
            <w:tcBorders>
              <w:top w:val="single" w:color="000000" w:sz="6" w:space="0"/>
              <w:left w:val="single" w:color="000000" w:sz="6" w:space="0"/>
              <w:bottom w:val="single" w:color="000000" w:sz="6" w:space="0"/>
            </w:tcBorders>
            <w:noWrap w:val="0"/>
            <w:vAlign w:val="top"/>
          </w:tcPr>
          <w:p>
            <w:pPr>
              <w:pStyle w:val="11"/>
              <w:spacing w:before="99"/>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8"/>
              <w:ind w:left="177" w:right="158"/>
              <w:jc w:val="center"/>
              <w:rPr>
                <w:sz w:val="20"/>
              </w:rPr>
            </w:pPr>
            <w:r>
              <w:rPr>
                <w:sz w:val="20"/>
              </w:rPr>
              <w:t>10</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4"/>
              <w:rPr>
                <w:rFonts w:hint="eastAsia" w:eastAsia="宋体"/>
                <w:sz w:val="20"/>
                <w:lang w:eastAsia="zh-CN"/>
              </w:rPr>
            </w:pPr>
            <w:r>
              <w:rPr>
                <w:sz w:val="20"/>
              </w:rPr>
              <w:t>3</w:t>
            </w:r>
            <w:r>
              <w:rPr>
                <w:rFonts w:hint="eastAsia"/>
                <w:sz w:val="20"/>
                <w:lang w:eastAsia="zh-CN"/>
              </w:rPr>
              <w:t>、</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right="530"/>
              <w:jc w:val="right"/>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7"/>
              <w:jc w:val="center"/>
              <w:rPr>
                <w:sz w:val="20"/>
              </w:rPr>
            </w:pPr>
            <w:r>
              <w:rPr>
                <w:w w:val="99"/>
                <w:sz w:val="20"/>
              </w:rPr>
              <w:t>*</w:t>
            </w: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9" w:type="dxa"/>
            <w:tcBorders>
              <w:top w:val="single" w:color="000000" w:sz="6" w:space="0"/>
              <w:left w:val="single" w:color="000000" w:sz="6" w:space="0"/>
              <w:bottom w:val="single" w:color="000000" w:sz="6" w:space="0"/>
            </w:tcBorders>
            <w:noWrap w:val="0"/>
            <w:vAlign w:val="top"/>
          </w:tcPr>
          <w:p>
            <w:pPr>
              <w:pStyle w:val="11"/>
              <w:spacing w:before="98"/>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bottom w:val="single" w:color="000000" w:sz="6" w:space="0"/>
              <w:right w:val="single" w:color="000000" w:sz="6" w:space="0"/>
            </w:tcBorders>
            <w:noWrap w:val="0"/>
            <w:vAlign w:val="top"/>
          </w:tcPr>
          <w:p>
            <w:pPr>
              <w:pStyle w:val="11"/>
              <w:spacing w:before="97"/>
              <w:ind w:left="177" w:right="158"/>
              <w:jc w:val="center"/>
              <w:rPr>
                <w:sz w:val="20"/>
              </w:rPr>
            </w:pPr>
            <w:r>
              <w:rPr>
                <w:sz w:val="20"/>
              </w:rPr>
              <w:t>11</w:t>
            </w:r>
          </w:p>
        </w:tc>
        <w:tc>
          <w:tcPr>
            <w:tcW w:w="3587"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4"/>
              <w:rPr>
                <w:sz w:val="20"/>
              </w:rPr>
            </w:pPr>
            <w:r>
              <w:rPr>
                <w:sz w:val="20"/>
              </w:rPr>
              <w:t>合计（1+2+7）</w:t>
            </w:r>
          </w:p>
        </w:tc>
        <w:tc>
          <w:tcPr>
            <w:tcW w:w="96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69"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959" w:type="dxa"/>
            <w:tcBorders>
              <w:top w:val="single" w:color="000000" w:sz="6" w:space="0"/>
              <w:right w:val="single" w:color="000000" w:sz="6" w:space="0"/>
            </w:tcBorders>
            <w:noWrap w:val="0"/>
            <w:vAlign w:val="top"/>
          </w:tcPr>
          <w:p>
            <w:pPr>
              <w:pStyle w:val="11"/>
              <w:spacing w:before="98"/>
              <w:ind w:left="177" w:right="160"/>
              <w:jc w:val="center"/>
              <w:rPr>
                <w:sz w:val="20"/>
              </w:rPr>
            </w:pPr>
            <w:r>
              <w:rPr>
                <w:sz w:val="20"/>
              </w:rPr>
              <w:t>附列资料</w:t>
            </w:r>
          </w:p>
        </w:tc>
        <w:tc>
          <w:tcPr>
            <w:tcW w:w="3587" w:type="dxa"/>
            <w:gridSpan w:val="3"/>
            <w:tcBorders>
              <w:top w:val="single" w:color="000000" w:sz="6" w:space="0"/>
              <w:left w:val="single" w:color="000000" w:sz="6" w:space="0"/>
              <w:right w:val="single" w:color="000000" w:sz="6" w:space="0"/>
            </w:tcBorders>
            <w:noWrap w:val="0"/>
            <w:vAlign w:val="top"/>
          </w:tcPr>
          <w:p>
            <w:pPr>
              <w:pStyle w:val="11"/>
              <w:spacing w:before="98"/>
              <w:ind w:left="114"/>
              <w:rPr>
                <w:sz w:val="20"/>
              </w:rPr>
            </w:pPr>
            <w:r>
              <w:rPr>
                <w:sz w:val="20"/>
              </w:rPr>
              <w:t>2015 年度至本年发生的公益性扶贫捐赠合计金额</w:t>
            </w:r>
          </w:p>
        </w:tc>
        <w:tc>
          <w:tcPr>
            <w:tcW w:w="965" w:type="dxa"/>
            <w:tcBorders>
              <w:top w:val="single" w:color="000000" w:sz="6" w:space="0"/>
              <w:left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right w:val="single" w:color="000000" w:sz="6" w:space="0"/>
            </w:tcBorders>
            <w:noWrap w:val="0"/>
            <w:vAlign w:val="top"/>
          </w:tcPr>
          <w:p>
            <w:pPr>
              <w:pStyle w:val="11"/>
              <w:spacing w:before="98"/>
              <w:ind w:right="530"/>
              <w:jc w:val="right"/>
              <w:rPr>
                <w:sz w:val="20"/>
              </w:rPr>
            </w:pPr>
            <w:r>
              <w:rPr>
                <w:w w:val="99"/>
                <w:sz w:val="20"/>
              </w:rPr>
              <w:t>*</w:t>
            </w:r>
          </w:p>
        </w:tc>
        <w:tc>
          <w:tcPr>
            <w:tcW w:w="966" w:type="dxa"/>
            <w:tcBorders>
              <w:top w:val="single" w:color="000000" w:sz="6" w:space="0"/>
              <w:left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6" w:type="dxa"/>
            <w:tcBorders>
              <w:top w:val="single" w:color="000000" w:sz="6" w:space="0"/>
              <w:left w:val="single" w:color="000000" w:sz="6" w:space="0"/>
              <w:right w:val="single" w:color="000000" w:sz="6" w:space="0"/>
            </w:tcBorders>
            <w:noWrap w:val="0"/>
            <w:vAlign w:val="top"/>
          </w:tcPr>
          <w:p>
            <w:pPr>
              <w:pStyle w:val="11"/>
              <w:rPr>
                <w:rFonts w:ascii="Times New Roman"/>
                <w:sz w:val="20"/>
              </w:rPr>
            </w:pPr>
          </w:p>
        </w:tc>
        <w:tc>
          <w:tcPr>
            <w:tcW w:w="966" w:type="dxa"/>
            <w:tcBorders>
              <w:top w:val="single" w:color="000000" w:sz="6" w:space="0"/>
              <w:left w:val="single" w:color="000000" w:sz="6" w:space="0"/>
              <w:right w:val="single" w:color="000000" w:sz="6" w:space="0"/>
            </w:tcBorders>
            <w:noWrap w:val="0"/>
            <w:vAlign w:val="top"/>
          </w:tcPr>
          <w:p>
            <w:pPr>
              <w:pStyle w:val="11"/>
              <w:spacing w:before="98"/>
              <w:ind w:left="27"/>
              <w:jc w:val="center"/>
              <w:rPr>
                <w:sz w:val="20"/>
              </w:rPr>
            </w:pPr>
            <w:r>
              <w:rPr>
                <w:w w:val="99"/>
                <w:sz w:val="20"/>
              </w:rPr>
              <w:t>*</w:t>
            </w:r>
          </w:p>
        </w:tc>
        <w:tc>
          <w:tcPr>
            <w:tcW w:w="966" w:type="dxa"/>
            <w:tcBorders>
              <w:top w:val="single" w:color="000000" w:sz="6" w:space="0"/>
              <w:left w:val="single" w:color="000000" w:sz="6" w:space="0"/>
              <w:right w:val="single" w:color="000000" w:sz="6" w:space="0"/>
            </w:tcBorders>
            <w:noWrap w:val="0"/>
            <w:vAlign w:val="top"/>
          </w:tcPr>
          <w:p>
            <w:pPr>
              <w:pStyle w:val="11"/>
              <w:spacing w:before="98"/>
              <w:ind w:left="26"/>
              <w:jc w:val="center"/>
              <w:rPr>
                <w:sz w:val="20"/>
              </w:rPr>
            </w:pPr>
            <w:r>
              <w:rPr>
                <w:w w:val="99"/>
                <w:sz w:val="20"/>
              </w:rPr>
              <w:t>*</w:t>
            </w:r>
          </w:p>
        </w:tc>
        <w:tc>
          <w:tcPr>
            <w:tcW w:w="969" w:type="dxa"/>
            <w:tcBorders>
              <w:top w:val="single" w:color="000000" w:sz="6" w:space="0"/>
              <w:left w:val="single" w:color="000000" w:sz="6" w:space="0"/>
            </w:tcBorders>
            <w:noWrap w:val="0"/>
            <w:vAlign w:val="top"/>
          </w:tcPr>
          <w:p>
            <w:pPr>
              <w:pStyle w:val="11"/>
              <w:spacing w:before="98"/>
              <w:ind w:left="37"/>
              <w:jc w:val="center"/>
              <w:rPr>
                <w:sz w:val="20"/>
              </w:rPr>
            </w:pPr>
            <w:r>
              <w:rPr>
                <w:w w:val="99"/>
                <w:sz w:val="20"/>
              </w:rPr>
              <w:t>*</w:t>
            </w:r>
          </w:p>
        </w:tc>
      </w:tr>
    </w:tbl>
    <w:p>
      <w:pPr>
        <w:pStyle w:val="4"/>
        <w:bidi w:val="0"/>
        <w:rPr>
          <w:rFonts w:hint="eastAsia"/>
          <w:lang w:eastAsia="zh-CN"/>
        </w:rPr>
      </w:pPr>
      <w:r>
        <w:rPr>
          <w:rFonts w:hint="eastAsia"/>
          <w:lang w:eastAsia="zh-CN"/>
        </w:rPr>
        <w:t>A105070</w:t>
      </w:r>
      <w:r>
        <w:rPr>
          <w:rFonts w:hint="eastAsia"/>
          <w:lang w:eastAsia="zh-CN"/>
        </w:rPr>
        <w:tab/>
      </w:r>
      <w:r>
        <w:rPr>
          <w:rFonts w:hint="eastAsia"/>
          <w:lang w:eastAsia="zh-CN"/>
        </w:rPr>
        <w:t>《捐赠支出及纳税调整明细表》填报说明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本表适用于发生捐赠支出（含捐赠支出结转）的纳税人填报。纳税人根据税法、《财政部 税务总局 海关总署关于北京2022 年冬奥会和冬残奥会税收政策的通知》（财税〔2017〕60 号）、《财政部 税务总局关于公益性捐赠支出企业所得税税前结转扣除有关政策的通知》（财税〔2018〕15 号）、《财政部 税务总局 国务院扶贫办关于企业扶贫捐赠所得税税前扣除政策的公告》（2019 年第 49 号）、《财政部  税务总局关于公共租赁住房税收优惠政策的公告》（2019 年第 61 号）、《财政部 税务总局关于支持新型冠状病毒感染的肺炎疫情防控有关捐赠税收政策的公告》（2020 年第 9 号）、《财政部 税务总局、海关总署关于杭州亚运会和亚残运会税收政策的公告》（2020 年第 18 号）等相关规定，以及国家统一企业会计制度，填报捐赠支出会计处理、税收规定的税前扣除额、捐赠支出结转额以及纳税调整额。纳税人发生相关支出（含捐赠支出结转），无论是否纳税调整，均应填报本表。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行“非公益性捐赠”：填报纳税人本年发生且已计入本年损益的税收规定公益性捐赠以外的其他捐赠支出及纳税调整情况。具体如下：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列“账载金额”：填报纳税人计入本年损益的公益性捐赠以外的其他捐</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赠支出金额，包括该支出已通过《纳税调整项目明细表》（A105000）第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5 列“纳税调增额”：填报非公益性捐赠支出纳税调整增加额，金额等于第 1 列“账载金额”。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行“限额扣除的公益性捐赠”：填报纳税人本年发生的限额扣除的公益性捐赠支出、纳税调整额、以前年度结转扣除捐赠支出等。第 2 行等于第 3+4+5+6 行。其中本行第 4 列“税收金额”：当本行第 1 列+第 2 列大于第 3 列时，第 4 列＝第 3 列；当本行第 1 列+第 2 列小于等于第 3 列时，第 4 列＝第 1 列+第 2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行“前三年度”：填报纳税人前三年度发生的未税前扣除的公益性捐赠支出在本年度扣除的金额。具体如下：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2 列“以前年度结转可扣除的捐赠额”：填报前三年度发生的尚未税前扣除的公益性捐赠支出金额。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6 列“纳税调减额”：根据本年扣除限额以及前三年度未扣除的公益性捐赠支出分析填报。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行“前二年度”：填报纳税人前二年度发生的未税前扣除的公益性捐赠支出在本年度扣除的捐赠额以及结转以后年度扣除的捐赠额。具体如下：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2 列“以前年度结转可扣除的捐赠额”：填报前二年度发生的尚未税前扣除的公益性捐赠支出金额。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6 列“纳税调减额”：根据本年剩余扣除限额、本年扣除前三年度捐赠支出、前二年度未扣除的公益性捐赠支出分析填报。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7 列“可结转以后年度扣除的捐赠额”：填报前二年度未扣除、结转以后年度扣除的公益性捐赠支出金额。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行“前一年度”：填报纳税人前一年度发生的未税前扣除的公益性捐赠支出在本年度扣除的捐赠额以及结转以后年度扣除的捐赠额。具体如下：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2 列“以前年度结转可扣除的捐赠额”：填报前一年度发生的尚未税前扣除的公益性捐赠支出金额。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6 列“纳税调减额”：根据本年剩余扣除限额、本年扣除前三年度捐赠支出、本年扣除前二年度捐赠支出、前一年度未扣除的公益性捐赠支出分析填报。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7 列“可结转以后年度扣除的捐赠额”：填报前一年度未扣除、结转以后年度扣除的公益性捐赠支出金额。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行“本年”：填报纳税人本年度发生、本年税前扣除、本年纳税调增以及结转以后年度扣除的公益性捐赠支出。具体如下：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列“账载金额”：填报计入本年损益的公益性捐赠支出金额，包括该支</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出已通过《纳税调整项目明细表》（A105000）第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3 列“按税收规定计算的扣除限额”：填报按照本年利润总额乘以 12%的金额，若利润总额为负数，则以 0 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4 列“税收金额”：根据本年实际发生的公益性捐赠支出以及结转扣除以前年度公益性捐赠支出情况分析填报。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5 列“纳税调增额”：填报本年公益性捐赠支出账载金额超过税收规定的税前扣除额的部分。</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7 列“可结转以后年度扣除的捐赠额”：填报本年度未扣除、结转以后年度扣除的公益性捐赠支出金额。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行至第 10 行“全额扣除的公益性捐赠”：填报纳税人发生的可全额税前扣除的公益性捐赠支出。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7 行：填报各行相应列次填报金额的合计金额。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8 行至第 10 行“项目”：纳税人在以下事项中选择填报：1、扶贫捐赠；2、北京 2022 年冬奥会、冬残奥会、测试赛捐赠；3、杭州 2022 年亚运会捐赠；4、支持新型冠状病毒感染的肺炎疫情防控捐赠（通过公益性社会组织或国家机关捐赠)；5、支持新型冠状病毒感染的肺炎疫情防控捐赠（直接向承担疫情防治任务的医院捐赠）。一个项目填报一行，纳税人有多个项目的，可自行增加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（3）具体各项目填报规则如下：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扶贫捐赠：填报纳税人发生的可全额税前扣除的扶贫公益性捐赠支出情况。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 列“账载金额”：填报纳税人本年发生且已计入本年损益的可全额税前扣除的扶贫公益性捐赠支出金额，包括该支出已通过《纳税调整项目明细表》（A105000） 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4 列“税收金额”：填报第 1 列“账载金额”。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北京 2022 年冬奥会、冬残奥会、测试赛捐赠：填报纳税人赞助、捐赠北京 2022 年冬奥会、冬残奥会、测试赛的可全额扣除的资金、物资、服务支出情况。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 列“账载金额”：填报纳税人本年发生且已计入本年损益、可全额扣除的赞助、捐赠北京 2022 年冬奥会、冬残奥会、测试赛的资金、物资、服务支出金额，包括该支出已通过《纳税调整项目明细表》（A105000）第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4 列“税收金额”：填报第 1 列“账载金额”。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杭州 2022 年亚运会捐赠：填报纳税人赞助、捐赠杭州 2022 年亚运会、亚残运会、测试赛的可全额扣除的资金、物资、服务支出情况。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 列“账载金额”：填报纳税人本年发生且已计入本年损益、可全额扣除的赞助、捐赠杭州 2022 年亚运会、亚残运会、测试赛的资金、物资、服务支出金额，包括该支出已通过《纳税调整项目明细表》（A105000）第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4 列“税收金额”：填报第 1 列“账载金额”。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支持新型冠状病毒感染的肺炎疫情防控捐赠（通过公益性社会组织或国家机关捐赠）：填报纳税人发生的可全额税前扣除的通过公益性社会组织或者县级以上人民政府及其部门等国家机关，用于应对新型冠状病毒感染的肺炎疫情的现金和物品捐赠支出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 列“账载金额”：填报纳税人本年发生且已计入本年损益的可全额税前扣除的通过公益性社会组织或者县级以上人民政府及其部门等国家机关，用于应对新型冠状病毒感染的肺炎疫情的现金和物品捐赠支出金额，包括该支出已通过《纳税调整项目明细表》（A105000）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4 列“税收金额”：填报第 1 列“账载金额”。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支持新型冠状病毒感染的肺炎疫情防控捐赠（直接向承担疫情防治任务的医院捐赠）：填报纳税人发生的可全额税前扣除的直接向承担疫情防治任务的医院用于应对新型冠状病毒感染的肺炎疫情进行的物品捐赠支出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 列“账载金额”：填报纳税人本年发生且已计入本年损益的可全额税前扣除的直接向承担疫情防治任务的医院用于应对新型冠状病毒感染的肺炎疫情进行的物品捐赠支出金额，包括该支出已通过《纳税调整项目明细表》（A105000）第 30 行“（十七）其他”进行纳税调整的金额。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4 列“税收金额”：填报第 1 列“账载金额”。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11 行“合计”：填报第 1+2+7 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9、附列资料“2015 年度至本年发生的公益性扶贫捐赠合计金额”：填报企业按照《财政部 税务总局 国务院扶贫办关于企业扶贫捐赠所得税税前扣除政策的公告》（2019 年第 49 号）规定，企业在 2015 年 1 月 1 日至本年度发生的可全额税前扣除的扶贫公益性捐赠支出合计金额。具体如下：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列“账载金额”：填报纳税人 2015 年 1 月 1 日至本年度发生的且已计入损益的按税收规定可全额税前扣除的扶贫公益性捐赠支出合计金额。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4 列“税收金额”：填报纳税人 2015 年 1 月 1 日至本年度发生的且已计入损益的按税收规定已在税前扣除的扶贫公益性捐赠支出合计金额。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二、表内、表间关系（以表样实例行次为例）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行第 5 列＝第 1 行第 1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行＝第 3+4+5+6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7 行第 4 列＝第 7 行第 1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7 行＝第 8+9+10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11 行＝第 1+2+7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6 行第 3 列＝表 A100000 第 13 行×12%（当表 A100000 第 13 行≤0，第 11 行第 3 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2、合计行第 1 列＝表 A105000 第 17 行第 1 列；合计行第 4 列＝表 A105000 第 17行第 2 列；合计行第 5 列＝表 A105000 第 17 行第 3 列；合计行第 6 列＝表 A105000 第17 行第 4 列。</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A105080</w:t>
      </w:r>
      <w:r>
        <w:rPr>
          <w:rFonts w:hint="eastAsia"/>
          <w:lang w:eastAsia="zh-CN"/>
        </w:rPr>
        <w:tab/>
      </w:r>
      <w:r>
        <w:rPr>
          <w:rFonts w:hint="eastAsia"/>
          <w:lang w:eastAsia="zh-CN"/>
        </w:rPr>
        <w:t>资产折旧、摊销及纳税调整明细表</w:t>
      </w:r>
    </w:p>
    <w:tbl>
      <w:tblPr>
        <w:tblStyle w:val="8"/>
        <w:tblW w:w="10993"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70"/>
        <w:gridCol w:w="1081"/>
        <w:gridCol w:w="2540"/>
        <w:gridCol w:w="729"/>
        <w:gridCol w:w="711"/>
        <w:gridCol w:w="695"/>
        <w:gridCol w:w="709"/>
        <w:gridCol w:w="680"/>
        <w:gridCol w:w="1216"/>
        <w:gridCol w:w="764"/>
        <w:gridCol w:w="707"/>
        <w:gridCol w:w="691"/>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51" w:hRule="atLeast"/>
          <w:jc w:val="center"/>
        </w:trPr>
        <w:tc>
          <w:tcPr>
            <w:tcW w:w="470" w:type="dxa"/>
            <w:vMerge w:val="restart"/>
            <w:tcBorders>
              <w:right w:val="single" w:color="000000" w:sz="6" w:space="0"/>
            </w:tcBorders>
            <w:noWrap w:val="0"/>
            <w:vAlign w:val="top"/>
          </w:tcPr>
          <w:p>
            <w:pPr>
              <w:pStyle w:val="11"/>
              <w:rPr>
                <w:b/>
                <w:sz w:val="20"/>
              </w:rPr>
            </w:pPr>
          </w:p>
          <w:p>
            <w:pPr>
              <w:pStyle w:val="11"/>
              <w:rPr>
                <w:b/>
                <w:sz w:val="20"/>
              </w:rPr>
            </w:pPr>
          </w:p>
          <w:p>
            <w:pPr>
              <w:pStyle w:val="11"/>
              <w:spacing w:before="171"/>
              <w:ind w:left="119"/>
              <w:rPr>
                <w:sz w:val="20"/>
              </w:rPr>
            </w:pPr>
            <w:r>
              <w:rPr>
                <w:sz w:val="20"/>
              </w:rPr>
              <w:t>行次</w:t>
            </w:r>
          </w:p>
        </w:tc>
        <w:tc>
          <w:tcPr>
            <w:tcW w:w="3621" w:type="dxa"/>
            <w:gridSpan w:val="2"/>
            <w:vMerge w:val="restart"/>
            <w:tcBorders>
              <w:left w:val="single" w:color="000000" w:sz="6" w:space="0"/>
              <w:right w:val="single" w:color="000000" w:sz="6" w:space="0"/>
            </w:tcBorders>
            <w:noWrap w:val="0"/>
            <w:vAlign w:val="top"/>
          </w:tcPr>
          <w:p>
            <w:pPr>
              <w:pStyle w:val="11"/>
              <w:rPr>
                <w:b/>
                <w:sz w:val="20"/>
              </w:rPr>
            </w:pPr>
          </w:p>
          <w:p>
            <w:pPr>
              <w:pStyle w:val="11"/>
              <w:rPr>
                <w:b/>
                <w:sz w:val="20"/>
              </w:rPr>
            </w:pPr>
          </w:p>
          <w:p>
            <w:pPr>
              <w:pStyle w:val="11"/>
              <w:spacing w:before="171"/>
              <w:ind w:left="2250" w:right="2223"/>
              <w:jc w:val="center"/>
              <w:rPr>
                <w:sz w:val="20"/>
              </w:rPr>
            </w:pPr>
            <w:r>
              <w:rPr>
                <w:sz w:val="20"/>
              </w:rPr>
              <w:t>项目</w:t>
            </w:r>
          </w:p>
        </w:tc>
        <w:tc>
          <w:tcPr>
            <w:tcW w:w="2135" w:type="dxa"/>
            <w:gridSpan w:val="3"/>
            <w:tcBorders>
              <w:left w:val="single" w:color="000000" w:sz="6" w:space="0"/>
              <w:bottom w:val="single" w:color="000000" w:sz="6" w:space="0"/>
              <w:right w:val="single" w:color="000000" w:sz="6" w:space="0"/>
            </w:tcBorders>
            <w:noWrap w:val="0"/>
            <w:vAlign w:val="top"/>
          </w:tcPr>
          <w:p>
            <w:pPr>
              <w:pStyle w:val="11"/>
              <w:spacing w:before="2" w:line="230" w:lineRule="exact"/>
              <w:ind w:left="1037" w:right="1013"/>
              <w:jc w:val="center"/>
              <w:rPr>
                <w:sz w:val="20"/>
              </w:rPr>
            </w:pPr>
            <w:r>
              <w:rPr>
                <w:sz w:val="20"/>
              </w:rPr>
              <w:t>账载金额</w:t>
            </w:r>
          </w:p>
        </w:tc>
        <w:tc>
          <w:tcPr>
            <w:tcW w:w="4076" w:type="dxa"/>
            <w:gridSpan w:val="5"/>
            <w:tcBorders>
              <w:left w:val="single" w:color="000000" w:sz="6" w:space="0"/>
              <w:bottom w:val="single" w:color="000000" w:sz="6" w:space="0"/>
              <w:right w:val="single" w:color="000000" w:sz="6" w:space="0"/>
            </w:tcBorders>
            <w:noWrap w:val="0"/>
            <w:vAlign w:val="top"/>
          </w:tcPr>
          <w:p>
            <w:pPr>
              <w:pStyle w:val="11"/>
              <w:spacing w:before="2" w:line="230" w:lineRule="exact"/>
              <w:ind w:left="2360" w:right="2333"/>
              <w:jc w:val="center"/>
              <w:rPr>
                <w:sz w:val="20"/>
              </w:rPr>
            </w:pPr>
            <w:r>
              <w:rPr>
                <w:sz w:val="20"/>
              </w:rPr>
              <w:t>税收金额</w:t>
            </w:r>
          </w:p>
        </w:tc>
        <w:tc>
          <w:tcPr>
            <w:tcW w:w="691" w:type="dxa"/>
            <w:vMerge w:val="restart"/>
            <w:tcBorders>
              <w:left w:val="single" w:color="000000" w:sz="6" w:space="0"/>
              <w:bottom w:val="single" w:color="000000" w:sz="6" w:space="0"/>
            </w:tcBorders>
            <w:noWrap w:val="0"/>
            <w:vAlign w:val="top"/>
          </w:tcPr>
          <w:p>
            <w:pPr>
              <w:pStyle w:val="11"/>
              <w:rPr>
                <w:b/>
                <w:sz w:val="20"/>
              </w:rPr>
            </w:pPr>
          </w:p>
          <w:p>
            <w:pPr>
              <w:pStyle w:val="11"/>
              <w:spacing w:before="142" w:line="242" w:lineRule="auto"/>
              <w:ind w:left="175" w:right="140"/>
              <w:rPr>
                <w:sz w:val="20"/>
              </w:rPr>
            </w:pPr>
            <w:r>
              <w:rPr>
                <w:sz w:val="20"/>
              </w:rPr>
              <w:t>纳税调整金额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3" w:hRule="atLeast"/>
          <w:jc w:val="center"/>
        </w:trPr>
        <w:tc>
          <w:tcPr>
            <w:tcW w:w="470" w:type="dxa"/>
            <w:vMerge w:val="continue"/>
            <w:tcBorders>
              <w:top w:val="nil"/>
              <w:right w:val="single" w:color="000000" w:sz="6" w:space="0"/>
            </w:tcBorders>
            <w:noWrap w:val="0"/>
            <w:vAlign w:val="top"/>
          </w:tcPr>
          <w:p>
            <w:pPr>
              <w:rPr>
                <w:sz w:val="2"/>
                <w:szCs w:val="2"/>
              </w:rPr>
            </w:pPr>
          </w:p>
        </w:tc>
        <w:tc>
          <w:tcPr>
            <w:tcW w:w="3621" w:type="dxa"/>
            <w:gridSpan w:val="2"/>
            <w:vMerge w:val="continue"/>
            <w:tcBorders>
              <w:top w:val="nil"/>
              <w:left w:val="single" w:color="000000" w:sz="6" w:space="0"/>
              <w:right w:val="single" w:color="000000" w:sz="6" w:space="0"/>
            </w:tcBorders>
            <w:noWrap w:val="0"/>
            <w:vAlign w:val="top"/>
          </w:tcPr>
          <w:p>
            <w:pPr>
              <w:rPr>
                <w:sz w:val="2"/>
                <w:szCs w:val="2"/>
              </w:rPr>
            </w:pP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rPr>
                <w:b/>
                <w:sz w:val="19"/>
              </w:rPr>
            </w:pPr>
          </w:p>
          <w:p>
            <w:pPr>
              <w:pStyle w:val="11"/>
              <w:spacing w:line="242" w:lineRule="auto"/>
              <w:ind w:left="402" w:right="171" w:hanging="200"/>
              <w:rPr>
                <w:sz w:val="20"/>
              </w:rPr>
            </w:pPr>
            <w:r>
              <w:rPr>
                <w:sz w:val="20"/>
              </w:rPr>
              <w:t>资产原值</w:t>
            </w: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23" w:line="242" w:lineRule="auto"/>
              <w:ind w:left="113" w:right="86" w:firstLine="2"/>
              <w:jc w:val="center"/>
              <w:rPr>
                <w:sz w:val="20"/>
              </w:rPr>
            </w:pPr>
            <w:r>
              <w:rPr>
                <w:sz w:val="20"/>
              </w:rPr>
              <w:t>本年折</w:t>
            </w:r>
            <w:r>
              <w:rPr>
                <w:spacing w:val="-16"/>
                <w:sz w:val="20"/>
              </w:rPr>
              <w:t>旧、摊销</w:t>
            </w:r>
            <w:r>
              <w:rPr>
                <w:sz w:val="20"/>
              </w:rPr>
              <w:t>额</w:t>
            </w: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23" w:line="242" w:lineRule="auto"/>
              <w:ind w:left="115" w:right="85" w:hanging="3"/>
              <w:jc w:val="center"/>
              <w:rPr>
                <w:sz w:val="20"/>
              </w:rPr>
            </w:pPr>
            <w:r>
              <w:rPr>
                <w:sz w:val="20"/>
              </w:rPr>
              <w:t>累计折</w:t>
            </w:r>
            <w:r>
              <w:rPr>
                <w:spacing w:val="-22"/>
                <w:sz w:val="20"/>
              </w:rPr>
              <w:t>旧、摊销</w:t>
            </w:r>
            <w:r>
              <w:rPr>
                <w:sz w:val="20"/>
              </w:rPr>
              <w:t>额</w:t>
            </w: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rPr>
                <w:b/>
                <w:sz w:val="19"/>
              </w:rPr>
            </w:pPr>
          </w:p>
          <w:p>
            <w:pPr>
              <w:pStyle w:val="11"/>
              <w:spacing w:line="242" w:lineRule="auto"/>
              <w:ind w:left="187" w:right="160"/>
              <w:rPr>
                <w:sz w:val="20"/>
              </w:rPr>
            </w:pPr>
            <w:r>
              <w:rPr>
                <w:sz w:val="20"/>
              </w:rPr>
              <w:t>资产计税基础</w:t>
            </w: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23" w:line="242" w:lineRule="auto"/>
              <w:ind w:left="115" w:right="86"/>
              <w:jc w:val="center"/>
              <w:rPr>
                <w:sz w:val="20"/>
              </w:rPr>
            </w:pPr>
            <w:r>
              <w:rPr>
                <w:sz w:val="20"/>
              </w:rPr>
              <w:t>税收折</w:t>
            </w:r>
            <w:r>
              <w:rPr>
                <w:spacing w:val="-28"/>
                <w:sz w:val="20"/>
              </w:rPr>
              <w:t>旧、摊销</w:t>
            </w:r>
            <w:r>
              <w:rPr>
                <w:sz w:val="20"/>
              </w:rPr>
              <w:t>额</w:t>
            </w: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42" w:lineRule="auto"/>
              <w:ind w:left="133" w:right="106"/>
              <w:jc w:val="both"/>
              <w:rPr>
                <w:sz w:val="20"/>
              </w:rPr>
            </w:pPr>
            <w:r>
              <w:rPr>
                <w:spacing w:val="-3"/>
                <w:sz w:val="20"/>
              </w:rPr>
              <w:t>享受加速折旧政策的资产按税收</w:t>
            </w:r>
            <w:r>
              <w:rPr>
                <w:spacing w:val="-3"/>
                <w:w w:val="95"/>
                <w:sz w:val="20"/>
              </w:rPr>
              <w:t>一般规定计算的</w:t>
            </w:r>
          </w:p>
          <w:p>
            <w:pPr>
              <w:pStyle w:val="11"/>
              <w:spacing w:line="231" w:lineRule="exact"/>
              <w:ind w:left="234"/>
              <w:rPr>
                <w:sz w:val="20"/>
              </w:rPr>
            </w:pPr>
            <w:r>
              <w:rPr>
                <w:w w:val="95"/>
                <w:sz w:val="20"/>
              </w:rPr>
              <w:t>折旧、摊销额</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23" w:line="242" w:lineRule="auto"/>
              <w:ind w:left="126" w:right="97" w:firstLine="2"/>
              <w:jc w:val="center"/>
              <w:rPr>
                <w:sz w:val="20"/>
              </w:rPr>
            </w:pPr>
            <w:r>
              <w:rPr>
                <w:sz w:val="20"/>
              </w:rPr>
              <w:t xml:space="preserve">加速折 </w:t>
            </w:r>
            <w:r>
              <w:rPr>
                <w:spacing w:val="-4"/>
                <w:sz w:val="20"/>
              </w:rPr>
              <w:t>旧、摊销</w:t>
            </w:r>
            <w:r>
              <w:rPr>
                <w:sz w:val="20"/>
              </w:rPr>
              <w:t>统计额</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23" w:line="242" w:lineRule="auto"/>
              <w:ind w:left="113" w:right="85" w:firstLine="2"/>
              <w:jc w:val="center"/>
              <w:rPr>
                <w:sz w:val="20"/>
              </w:rPr>
            </w:pPr>
            <w:r>
              <w:rPr>
                <w:sz w:val="20"/>
              </w:rPr>
              <w:t>累计折</w:t>
            </w:r>
            <w:r>
              <w:rPr>
                <w:spacing w:val="-18"/>
                <w:sz w:val="20"/>
              </w:rPr>
              <w:t>旧、摊销</w:t>
            </w:r>
            <w:r>
              <w:rPr>
                <w:sz w:val="20"/>
              </w:rPr>
              <w:t>额</w:t>
            </w:r>
          </w:p>
        </w:tc>
        <w:tc>
          <w:tcPr>
            <w:tcW w:w="691" w:type="dxa"/>
            <w:vMerge w:val="continue"/>
            <w:tcBorders>
              <w:top w:val="nil"/>
              <w:left w:val="single" w:color="000000" w:sz="6" w:space="0"/>
              <w:bottom w:val="single" w:color="000000" w:sz="6" w:space="0"/>
            </w:tcBorders>
            <w:noWrap w:val="0"/>
            <w:vAlign w:val="top"/>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2" w:hRule="atLeast"/>
          <w:jc w:val="center"/>
        </w:trPr>
        <w:tc>
          <w:tcPr>
            <w:tcW w:w="470" w:type="dxa"/>
            <w:vMerge w:val="continue"/>
            <w:tcBorders>
              <w:top w:val="nil"/>
              <w:right w:val="single" w:color="000000" w:sz="6" w:space="0"/>
            </w:tcBorders>
            <w:noWrap w:val="0"/>
            <w:vAlign w:val="top"/>
          </w:tcPr>
          <w:p>
            <w:pPr>
              <w:rPr>
                <w:sz w:val="2"/>
                <w:szCs w:val="2"/>
              </w:rPr>
            </w:pPr>
          </w:p>
        </w:tc>
        <w:tc>
          <w:tcPr>
            <w:tcW w:w="3621" w:type="dxa"/>
            <w:gridSpan w:val="2"/>
            <w:vMerge w:val="continue"/>
            <w:tcBorders>
              <w:top w:val="nil"/>
              <w:left w:val="single" w:color="000000" w:sz="6" w:space="0"/>
              <w:right w:val="single" w:color="000000" w:sz="6" w:space="0"/>
            </w:tcBorders>
            <w:noWrap w:val="0"/>
            <w:vAlign w:val="top"/>
          </w:tcPr>
          <w:p>
            <w:pPr>
              <w:rPr>
                <w:sz w:val="2"/>
                <w:szCs w:val="2"/>
              </w:rPr>
            </w:pPr>
          </w:p>
        </w:tc>
        <w:tc>
          <w:tcPr>
            <w:tcW w:w="729" w:type="dxa"/>
            <w:tcBorders>
              <w:top w:val="single" w:color="000000" w:sz="6" w:space="0"/>
              <w:left w:val="single" w:color="000000" w:sz="6" w:space="0"/>
              <w:right w:val="single" w:color="000000" w:sz="6" w:space="0"/>
            </w:tcBorders>
            <w:noWrap w:val="0"/>
            <w:vAlign w:val="top"/>
          </w:tcPr>
          <w:p>
            <w:pPr>
              <w:pStyle w:val="11"/>
              <w:spacing w:before="13"/>
              <w:ind w:left="28"/>
              <w:jc w:val="center"/>
              <w:rPr>
                <w:sz w:val="20"/>
              </w:rPr>
            </w:pPr>
            <w:r>
              <w:rPr>
                <w:w w:val="99"/>
                <w:sz w:val="20"/>
              </w:rPr>
              <w:t>1</w:t>
            </w:r>
          </w:p>
        </w:tc>
        <w:tc>
          <w:tcPr>
            <w:tcW w:w="711" w:type="dxa"/>
            <w:tcBorders>
              <w:top w:val="single" w:color="000000" w:sz="6" w:space="0"/>
              <w:left w:val="single" w:color="000000" w:sz="6" w:space="0"/>
              <w:right w:val="single" w:color="000000" w:sz="6" w:space="0"/>
            </w:tcBorders>
            <w:noWrap w:val="0"/>
            <w:vAlign w:val="top"/>
          </w:tcPr>
          <w:p>
            <w:pPr>
              <w:pStyle w:val="11"/>
              <w:spacing w:before="13"/>
              <w:ind w:left="26"/>
              <w:jc w:val="center"/>
              <w:rPr>
                <w:sz w:val="20"/>
              </w:rPr>
            </w:pPr>
            <w:r>
              <w:rPr>
                <w:w w:val="99"/>
                <w:sz w:val="20"/>
              </w:rPr>
              <w:t>2</w:t>
            </w:r>
          </w:p>
        </w:tc>
        <w:tc>
          <w:tcPr>
            <w:tcW w:w="695" w:type="dxa"/>
            <w:tcBorders>
              <w:top w:val="single" w:color="000000" w:sz="6" w:space="0"/>
              <w:left w:val="single" w:color="000000" w:sz="6" w:space="0"/>
              <w:right w:val="single" w:color="000000" w:sz="6" w:space="0"/>
            </w:tcBorders>
            <w:noWrap w:val="0"/>
            <w:vAlign w:val="top"/>
          </w:tcPr>
          <w:p>
            <w:pPr>
              <w:pStyle w:val="11"/>
              <w:spacing w:before="13"/>
              <w:ind w:left="28"/>
              <w:jc w:val="center"/>
              <w:rPr>
                <w:sz w:val="20"/>
              </w:rPr>
            </w:pPr>
            <w:r>
              <w:rPr>
                <w:w w:val="99"/>
                <w:sz w:val="20"/>
              </w:rPr>
              <w:t>3</w:t>
            </w:r>
          </w:p>
        </w:tc>
        <w:tc>
          <w:tcPr>
            <w:tcW w:w="709" w:type="dxa"/>
            <w:tcBorders>
              <w:top w:val="single" w:color="000000" w:sz="6" w:space="0"/>
              <w:left w:val="single" w:color="000000" w:sz="6" w:space="0"/>
              <w:right w:val="single" w:color="000000" w:sz="6" w:space="0"/>
            </w:tcBorders>
            <w:noWrap w:val="0"/>
            <w:vAlign w:val="top"/>
          </w:tcPr>
          <w:p>
            <w:pPr>
              <w:pStyle w:val="11"/>
              <w:spacing w:before="13"/>
              <w:ind w:left="29"/>
              <w:jc w:val="center"/>
              <w:rPr>
                <w:sz w:val="20"/>
              </w:rPr>
            </w:pPr>
            <w:r>
              <w:rPr>
                <w:w w:val="99"/>
                <w:sz w:val="20"/>
              </w:rPr>
              <w:t>4</w:t>
            </w:r>
          </w:p>
        </w:tc>
        <w:tc>
          <w:tcPr>
            <w:tcW w:w="680" w:type="dxa"/>
            <w:tcBorders>
              <w:top w:val="single" w:color="000000" w:sz="6" w:space="0"/>
              <w:left w:val="single" w:color="000000" w:sz="6" w:space="0"/>
              <w:right w:val="single" w:color="000000" w:sz="6" w:space="0"/>
            </w:tcBorders>
            <w:noWrap w:val="0"/>
            <w:vAlign w:val="top"/>
          </w:tcPr>
          <w:p>
            <w:pPr>
              <w:pStyle w:val="11"/>
              <w:spacing w:before="13"/>
              <w:ind w:left="25"/>
              <w:jc w:val="center"/>
              <w:rPr>
                <w:sz w:val="20"/>
              </w:rPr>
            </w:pPr>
            <w:r>
              <w:rPr>
                <w:w w:val="99"/>
                <w:sz w:val="20"/>
              </w:rPr>
              <w:t>5</w:t>
            </w:r>
          </w:p>
        </w:tc>
        <w:tc>
          <w:tcPr>
            <w:tcW w:w="1216" w:type="dxa"/>
            <w:tcBorders>
              <w:top w:val="single" w:color="000000" w:sz="6" w:space="0"/>
              <w:left w:val="single" w:color="000000" w:sz="6" w:space="0"/>
              <w:right w:val="single" w:color="000000" w:sz="6" w:space="0"/>
            </w:tcBorders>
            <w:noWrap w:val="0"/>
            <w:vAlign w:val="top"/>
          </w:tcPr>
          <w:p>
            <w:pPr>
              <w:pStyle w:val="11"/>
              <w:spacing w:before="13"/>
              <w:ind w:left="27"/>
              <w:jc w:val="center"/>
              <w:rPr>
                <w:sz w:val="20"/>
              </w:rPr>
            </w:pPr>
            <w:r>
              <w:rPr>
                <w:w w:val="99"/>
                <w:sz w:val="20"/>
              </w:rPr>
              <w:t>6</w:t>
            </w:r>
          </w:p>
        </w:tc>
        <w:tc>
          <w:tcPr>
            <w:tcW w:w="764" w:type="dxa"/>
            <w:tcBorders>
              <w:top w:val="single" w:color="000000" w:sz="6" w:space="0"/>
              <w:left w:val="single" w:color="000000" w:sz="6" w:space="0"/>
              <w:right w:val="single" w:color="000000" w:sz="6" w:space="0"/>
            </w:tcBorders>
            <w:noWrap w:val="0"/>
            <w:vAlign w:val="top"/>
          </w:tcPr>
          <w:p>
            <w:pPr>
              <w:pStyle w:val="11"/>
              <w:spacing w:before="13"/>
              <w:ind w:left="106" w:right="79"/>
              <w:jc w:val="center"/>
              <w:rPr>
                <w:sz w:val="20"/>
              </w:rPr>
            </w:pPr>
            <w:r>
              <w:rPr>
                <w:sz w:val="20"/>
              </w:rPr>
              <w:t>7（5-6）</w:t>
            </w:r>
          </w:p>
        </w:tc>
        <w:tc>
          <w:tcPr>
            <w:tcW w:w="707" w:type="dxa"/>
            <w:tcBorders>
              <w:top w:val="single" w:color="000000" w:sz="6" w:space="0"/>
              <w:left w:val="single" w:color="000000" w:sz="6" w:space="0"/>
              <w:right w:val="single" w:color="000000" w:sz="6" w:space="0"/>
            </w:tcBorders>
            <w:noWrap w:val="0"/>
            <w:vAlign w:val="top"/>
          </w:tcPr>
          <w:p>
            <w:pPr>
              <w:pStyle w:val="11"/>
              <w:spacing w:before="13"/>
              <w:ind w:left="27"/>
              <w:jc w:val="center"/>
              <w:rPr>
                <w:sz w:val="20"/>
              </w:rPr>
            </w:pPr>
            <w:r>
              <w:rPr>
                <w:w w:val="99"/>
                <w:sz w:val="20"/>
              </w:rPr>
              <w:t>8</w:t>
            </w:r>
          </w:p>
        </w:tc>
        <w:tc>
          <w:tcPr>
            <w:tcW w:w="691" w:type="dxa"/>
            <w:tcBorders>
              <w:top w:val="single" w:color="000000" w:sz="6" w:space="0"/>
              <w:left w:val="single" w:color="000000" w:sz="6" w:space="0"/>
            </w:tcBorders>
            <w:noWrap w:val="0"/>
            <w:vAlign w:val="top"/>
          </w:tcPr>
          <w:p>
            <w:pPr>
              <w:pStyle w:val="11"/>
              <w:spacing w:before="13"/>
              <w:ind w:left="155" w:right="121"/>
              <w:jc w:val="center"/>
              <w:rPr>
                <w:sz w:val="20"/>
              </w:rPr>
            </w:pPr>
            <w:r>
              <w:rPr>
                <w:sz w:val="20"/>
              </w:rPr>
              <w:t>9(2-5)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7" w:hRule="atLeast"/>
          <w:jc w:val="center"/>
        </w:trPr>
        <w:tc>
          <w:tcPr>
            <w:tcW w:w="470" w:type="dxa"/>
            <w:tcBorders>
              <w:bottom w:val="single" w:color="000000" w:sz="6" w:space="0"/>
              <w:right w:val="single" w:color="000000" w:sz="6" w:space="0"/>
            </w:tcBorders>
            <w:noWrap w:val="0"/>
            <w:vAlign w:val="top"/>
          </w:tcPr>
          <w:p>
            <w:pPr>
              <w:pStyle w:val="11"/>
              <w:spacing w:before="80"/>
              <w:ind w:left="268"/>
              <w:rPr>
                <w:sz w:val="20"/>
              </w:rPr>
            </w:pPr>
            <w:r>
              <w:rPr>
                <w:w w:val="99"/>
                <w:sz w:val="20"/>
              </w:rPr>
              <w:t>1</w:t>
            </w:r>
          </w:p>
        </w:tc>
        <w:tc>
          <w:tcPr>
            <w:tcW w:w="3621" w:type="dxa"/>
            <w:gridSpan w:val="2"/>
            <w:tcBorders>
              <w:left w:val="single" w:color="000000" w:sz="6" w:space="0"/>
              <w:bottom w:val="single" w:color="000000" w:sz="6" w:space="0"/>
              <w:right w:val="single" w:color="000000" w:sz="6" w:space="0"/>
            </w:tcBorders>
            <w:noWrap w:val="0"/>
            <w:vAlign w:val="top"/>
          </w:tcPr>
          <w:p>
            <w:pPr>
              <w:pStyle w:val="11"/>
              <w:spacing w:before="80"/>
              <w:ind w:left="113"/>
              <w:rPr>
                <w:sz w:val="20"/>
              </w:rPr>
            </w:pPr>
            <w:r>
              <w:rPr>
                <w:sz w:val="20"/>
              </w:rPr>
              <w:t>一、固定资产（2+3+4+5+6+7）</w:t>
            </w:r>
          </w:p>
        </w:tc>
        <w:tc>
          <w:tcPr>
            <w:tcW w:w="729" w:type="dxa"/>
            <w:tcBorders>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left w:val="single" w:color="000000" w:sz="6" w:space="0"/>
              <w:bottom w:val="single" w:color="000000" w:sz="6" w:space="0"/>
              <w:right w:val="single" w:color="000000" w:sz="6" w:space="0"/>
            </w:tcBorders>
            <w:noWrap w:val="0"/>
            <w:vAlign w:val="top"/>
          </w:tcPr>
          <w:p>
            <w:pPr>
              <w:pStyle w:val="11"/>
              <w:spacing w:before="80"/>
              <w:ind w:left="27"/>
              <w:jc w:val="center"/>
              <w:rPr>
                <w:sz w:val="20"/>
              </w:rPr>
            </w:pPr>
            <w:r>
              <w:rPr>
                <w:w w:val="99"/>
                <w:sz w:val="20"/>
              </w:rPr>
              <w:t>*</w:t>
            </w:r>
          </w:p>
        </w:tc>
        <w:tc>
          <w:tcPr>
            <w:tcW w:w="764" w:type="dxa"/>
            <w:tcBorders>
              <w:left w:val="single" w:color="000000" w:sz="6" w:space="0"/>
              <w:bottom w:val="single" w:color="000000" w:sz="6" w:space="0"/>
              <w:right w:val="single" w:color="000000" w:sz="6" w:space="0"/>
            </w:tcBorders>
            <w:noWrap w:val="0"/>
            <w:vAlign w:val="top"/>
          </w:tcPr>
          <w:p>
            <w:pPr>
              <w:pStyle w:val="11"/>
              <w:spacing w:before="80"/>
              <w:ind w:left="28"/>
              <w:jc w:val="center"/>
              <w:rPr>
                <w:sz w:val="20"/>
              </w:rPr>
            </w:pPr>
            <w:r>
              <w:rPr>
                <w:w w:val="99"/>
                <w:sz w:val="20"/>
              </w:rPr>
              <w:t>*</w:t>
            </w:r>
          </w:p>
        </w:tc>
        <w:tc>
          <w:tcPr>
            <w:tcW w:w="707" w:type="dxa"/>
            <w:tcBorders>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1"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22"/>
              <w:ind w:left="268"/>
              <w:rPr>
                <w:sz w:val="20"/>
              </w:rPr>
            </w:pPr>
            <w:r>
              <w:rPr>
                <w:w w:val="99"/>
                <w:sz w:val="20"/>
              </w:rPr>
              <w:t>2</w:t>
            </w:r>
          </w:p>
        </w:tc>
        <w:tc>
          <w:tcPr>
            <w:tcW w:w="108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20"/>
              </w:rPr>
            </w:pPr>
          </w:p>
          <w:p>
            <w:pPr>
              <w:pStyle w:val="11"/>
              <w:rPr>
                <w:b/>
                <w:sz w:val="20"/>
              </w:rPr>
            </w:pPr>
          </w:p>
          <w:p>
            <w:pPr>
              <w:pStyle w:val="11"/>
              <w:rPr>
                <w:b/>
                <w:sz w:val="20"/>
              </w:rPr>
            </w:pPr>
          </w:p>
          <w:p>
            <w:pPr>
              <w:pStyle w:val="11"/>
              <w:spacing w:before="12"/>
              <w:rPr>
                <w:b/>
                <w:sz w:val="29"/>
              </w:rPr>
            </w:pPr>
          </w:p>
          <w:p>
            <w:pPr>
              <w:pStyle w:val="11"/>
              <w:ind w:left="142"/>
              <w:rPr>
                <w:sz w:val="20"/>
              </w:rPr>
            </w:pPr>
            <w:r>
              <w:rPr>
                <w:sz w:val="20"/>
              </w:rPr>
              <w:t>所有固定资产</w:t>
            </w: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2"/>
              <w:ind w:left="115"/>
              <w:rPr>
                <w:sz w:val="20"/>
              </w:rPr>
            </w:pPr>
            <w:r>
              <w:rPr>
                <w:sz w:val="20"/>
              </w:rPr>
              <w:t>（一）房屋、建筑物</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2"/>
              <w:ind w:left="27"/>
              <w:jc w:val="center"/>
              <w:rPr>
                <w:sz w:val="20"/>
              </w:rPr>
            </w:pPr>
            <w:r>
              <w:rPr>
                <w:w w:val="99"/>
                <w:sz w:val="20"/>
              </w:rPr>
              <w:t>*</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2"/>
              <w:ind w:left="28"/>
              <w:jc w:val="center"/>
              <w:rPr>
                <w:sz w:val="20"/>
              </w:rPr>
            </w:pPr>
            <w:r>
              <w:rPr>
                <w:w w:val="99"/>
                <w:sz w:val="20"/>
              </w:rPr>
              <w:t>*</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0"/>
              <w:ind w:left="268"/>
              <w:rPr>
                <w:sz w:val="20"/>
              </w:rPr>
            </w:pPr>
            <w:r>
              <w:rPr>
                <w:w w:val="99"/>
                <w:sz w:val="20"/>
              </w:rPr>
              <w:t>3</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ind w:left="115"/>
              <w:rPr>
                <w:sz w:val="20"/>
              </w:rPr>
            </w:pPr>
            <w:r>
              <w:rPr>
                <w:sz w:val="20"/>
              </w:rPr>
              <w:t>（二）飞机、火车、轮船、机器、机</w:t>
            </w:r>
          </w:p>
          <w:p>
            <w:pPr>
              <w:pStyle w:val="11"/>
              <w:spacing w:before="3" w:line="238" w:lineRule="exact"/>
              <w:ind w:left="115"/>
              <w:rPr>
                <w:sz w:val="20"/>
              </w:rPr>
            </w:pPr>
            <w:r>
              <w:rPr>
                <w:sz w:val="20"/>
              </w:rPr>
              <w:t>械和其他生产设备</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7"/>
              <w:jc w:val="center"/>
              <w:rPr>
                <w:sz w:val="20"/>
              </w:rPr>
            </w:pPr>
            <w:r>
              <w:rPr>
                <w:w w:val="99"/>
                <w:sz w:val="20"/>
              </w:rPr>
              <w:t>*</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8"/>
              <w:jc w:val="center"/>
              <w:rPr>
                <w:sz w:val="20"/>
              </w:rPr>
            </w:pPr>
            <w:r>
              <w:rPr>
                <w:w w:val="99"/>
                <w:sz w:val="20"/>
              </w:rPr>
              <w:t>*</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0"/>
              <w:ind w:left="268"/>
              <w:rPr>
                <w:sz w:val="20"/>
              </w:rPr>
            </w:pPr>
            <w:r>
              <w:rPr>
                <w:w w:val="99"/>
                <w:sz w:val="20"/>
              </w:rPr>
              <w:t>4</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60" w:lineRule="atLeast"/>
              <w:ind w:left="115" w:right="125"/>
              <w:rPr>
                <w:sz w:val="20"/>
              </w:rPr>
            </w:pPr>
            <w:r>
              <w:rPr>
                <w:sz w:val="20"/>
              </w:rPr>
              <w:t>（三）与生产经营活动有关的器具、工具、家具等</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7"/>
              <w:jc w:val="center"/>
              <w:rPr>
                <w:sz w:val="20"/>
              </w:rPr>
            </w:pPr>
            <w:r>
              <w:rPr>
                <w:w w:val="99"/>
                <w:sz w:val="20"/>
              </w:rPr>
              <w:t>*</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8"/>
              <w:jc w:val="center"/>
              <w:rPr>
                <w:sz w:val="20"/>
              </w:rPr>
            </w:pPr>
            <w:r>
              <w:rPr>
                <w:w w:val="99"/>
                <w:sz w:val="20"/>
              </w:rPr>
              <w:t>*</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7"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0"/>
              <w:ind w:left="268"/>
              <w:rPr>
                <w:sz w:val="20"/>
              </w:rPr>
            </w:pPr>
            <w:r>
              <w:rPr>
                <w:w w:val="99"/>
                <w:sz w:val="20"/>
              </w:rPr>
              <w:t>5</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ind w:left="115"/>
              <w:rPr>
                <w:sz w:val="20"/>
              </w:rPr>
            </w:pPr>
            <w:r>
              <w:rPr>
                <w:sz w:val="20"/>
              </w:rPr>
              <w:t>（四）飞机、火车、轮船以外的运输</w:t>
            </w:r>
          </w:p>
          <w:p>
            <w:pPr>
              <w:pStyle w:val="11"/>
              <w:spacing w:before="3" w:line="238" w:lineRule="exact"/>
              <w:ind w:left="115"/>
              <w:rPr>
                <w:sz w:val="20"/>
              </w:rPr>
            </w:pPr>
            <w:r>
              <w:rPr>
                <w:sz w:val="20"/>
              </w:rPr>
              <w:t>工具</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7"/>
              <w:jc w:val="center"/>
              <w:rPr>
                <w:sz w:val="20"/>
              </w:rPr>
            </w:pPr>
            <w:r>
              <w:rPr>
                <w:w w:val="99"/>
                <w:sz w:val="20"/>
              </w:rPr>
              <w:t>*</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0"/>
              <w:ind w:left="28"/>
              <w:jc w:val="center"/>
              <w:rPr>
                <w:sz w:val="20"/>
              </w:rPr>
            </w:pPr>
            <w:r>
              <w:rPr>
                <w:w w:val="99"/>
                <w:sz w:val="20"/>
              </w:rPr>
              <w:t>*</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0"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22"/>
              <w:ind w:left="268"/>
              <w:rPr>
                <w:sz w:val="20"/>
              </w:rPr>
            </w:pPr>
            <w:r>
              <w:rPr>
                <w:w w:val="99"/>
                <w:sz w:val="20"/>
              </w:rPr>
              <w:t>6</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2"/>
              <w:ind w:left="115"/>
              <w:rPr>
                <w:sz w:val="20"/>
              </w:rPr>
            </w:pPr>
            <w:r>
              <w:rPr>
                <w:sz w:val="20"/>
              </w:rPr>
              <w:t>（五）电子设备</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2"/>
              <w:ind w:left="27"/>
              <w:jc w:val="center"/>
              <w:rPr>
                <w:sz w:val="20"/>
              </w:rPr>
            </w:pPr>
            <w:r>
              <w:rPr>
                <w:w w:val="99"/>
                <w:sz w:val="20"/>
              </w:rPr>
              <w:t>*</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2"/>
              <w:ind w:left="28"/>
              <w:jc w:val="center"/>
              <w:rPr>
                <w:sz w:val="20"/>
              </w:rPr>
            </w:pPr>
            <w:r>
              <w:rPr>
                <w:w w:val="99"/>
                <w:sz w:val="20"/>
              </w:rPr>
              <w:t>*</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28"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36"/>
              <w:ind w:left="268"/>
              <w:rPr>
                <w:sz w:val="20"/>
              </w:rPr>
            </w:pPr>
            <w:r>
              <w:rPr>
                <w:w w:val="99"/>
                <w:sz w:val="20"/>
              </w:rPr>
              <w:t>7</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36"/>
              <w:ind w:left="115"/>
              <w:rPr>
                <w:sz w:val="20"/>
              </w:rPr>
            </w:pPr>
            <w:r>
              <w:rPr>
                <w:sz w:val="20"/>
              </w:rPr>
              <w:t>（六）其他</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36"/>
              <w:ind w:left="27"/>
              <w:jc w:val="center"/>
              <w:rPr>
                <w:sz w:val="20"/>
              </w:rPr>
            </w:pPr>
            <w:r>
              <w:rPr>
                <w:w w:val="99"/>
                <w:sz w:val="20"/>
              </w:rPr>
              <w:t>*</w:t>
            </w: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36"/>
              <w:ind w:left="28"/>
              <w:jc w:val="center"/>
              <w:rPr>
                <w:sz w:val="20"/>
              </w:rPr>
            </w:pPr>
            <w:r>
              <w:rPr>
                <w:w w:val="99"/>
                <w:sz w:val="20"/>
              </w:rPr>
              <w:t>*</w:t>
            </w: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0"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62"/>
              <w:ind w:left="268"/>
              <w:rPr>
                <w:sz w:val="20"/>
              </w:rPr>
            </w:pPr>
            <w:r>
              <w:rPr>
                <w:w w:val="99"/>
                <w:sz w:val="20"/>
              </w:rPr>
              <w:t>8</w:t>
            </w:r>
          </w:p>
        </w:tc>
        <w:tc>
          <w:tcPr>
            <w:tcW w:w="108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20"/>
              </w:rPr>
            </w:pPr>
          </w:p>
          <w:p>
            <w:pPr>
              <w:pStyle w:val="11"/>
              <w:rPr>
                <w:b/>
                <w:sz w:val="20"/>
              </w:rPr>
            </w:pPr>
          </w:p>
          <w:p>
            <w:pPr>
              <w:pStyle w:val="11"/>
              <w:spacing w:before="11"/>
              <w:rPr>
                <w:b/>
                <w:sz w:val="28"/>
              </w:rPr>
            </w:pPr>
          </w:p>
          <w:p>
            <w:pPr>
              <w:pStyle w:val="11"/>
              <w:spacing w:line="242" w:lineRule="auto"/>
              <w:ind w:left="142" w:right="112"/>
              <w:jc w:val="center"/>
              <w:rPr>
                <w:sz w:val="20"/>
              </w:rPr>
            </w:pPr>
            <w:r>
              <w:rPr>
                <w:sz w:val="20"/>
              </w:rPr>
              <w:t>其中：享受固定资产加速折旧及一次性扣除政策的资产加速折旧额大于一般折旧额的部分</w:t>
            </w: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30" w:line="242" w:lineRule="auto"/>
              <w:ind w:left="115" w:right="84"/>
              <w:rPr>
                <w:sz w:val="20"/>
              </w:rPr>
            </w:pPr>
            <w:r>
              <w:rPr>
                <w:sz w:val="20"/>
              </w:rPr>
              <w:t>（一</w:t>
            </w:r>
            <w:r>
              <w:rPr>
                <w:spacing w:val="-79"/>
                <w:sz w:val="20"/>
              </w:rPr>
              <w:t>）</w:t>
            </w:r>
            <w:r>
              <w:rPr>
                <w:spacing w:val="-7"/>
                <w:sz w:val="20"/>
              </w:rPr>
              <w:t>重要行业固定资产加速折旧</w:t>
            </w:r>
            <w:r>
              <w:rPr>
                <w:sz w:val="20"/>
              </w:rPr>
              <w:t>（</w:t>
            </w:r>
            <w:r>
              <w:rPr>
                <w:spacing w:val="-12"/>
                <w:sz w:val="20"/>
              </w:rPr>
              <w:t>不</w:t>
            </w:r>
            <w:r>
              <w:rPr>
                <w:sz w:val="20"/>
              </w:rPr>
              <w:t>含一次性扣除）</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spacing w:before="162"/>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2"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28"/>
              <w:ind w:left="268"/>
              <w:rPr>
                <w:sz w:val="20"/>
              </w:rPr>
            </w:pPr>
            <w:r>
              <w:rPr>
                <w:w w:val="99"/>
                <w:sz w:val="20"/>
              </w:rPr>
              <w:t>9</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8"/>
              <w:ind w:left="115"/>
              <w:rPr>
                <w:sz w:val="20"/>
              </w:rPr>
            </w:pPr>
            <w:r>
              <w:rPr>
                <w:sz w:val="20"/>
              </w:rPr>
              <w:t>（二）其他行业研发设备加速折旧</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spacing w:before="28"/>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29"/>
              <w:ind w:left="218"/>
              <w:rPr>
                <w:sz w:val="20"/>
              </w:rPr>
            </w:pPr>
            <w:r>
              <w:rPr>
                <w:sz w:val="20"/>
              </w:rPr>
              <w:t>10</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ind w:left="115"/>
              <w:rPr>
                <w:sz w:val="20"/>
              </w:rPr>
            </w:pPr>
            <w:r>
              <w:rPr>
                <w:sz w:val="20"/>
              </w:rPr>
              <w:t>（三）海南自由贸易港企业固定资产</w:t>
            </w:r>
          </w:p>
          <w:p>
            <w:pPr>
              <w:pStyle w:val="11"/>
              <w:spacing w:before="3" w:line="240" w:lineRule="exact"/>
              <w:ind w:left="115"/>
              <w:rPr>
                <w:sz w:val="20"/>
              </w:rPr>
            </w:pPr>
            <w:r>
              <w:rPr>
                <w:sz w:val="20"/>
              </w:rPr>
              <w:t>加速折旧</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7"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1"/>
              <w:ind w:left="218"/>
              <w:rPr>
                <w:sz w:val="20"/>
              </w:rPr>
            </w:pPr>
            <w:r>
              <w:rPr>
                <w:sz w:val="20"/>
              </w:rPr>
              <w:t>11</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5"/>
              <w:rPr>
                <w:sz w:val="20"/>
              </w:rPr>
            </w:pPr>
            <w:r>
              <w:rPr>
                <w:sz w:val="20"/>
              </w:rPr>
              <w:t>（四）500 万元以下设备器具一次性</w:t>
            </w:r>
          </w:p>
          <w:p>
            <w:pPr>
              <w:pStyle w:val="11"/>
              <w:spacing w:before="3" w:line="238" w:lineRule="exact"/>
              <w:ind w:left="115"/>
              <w:rPr>
                <w:sz w:val="20"/>
              </w:rPr>
            </w:pPr>
            <w:r>
              <w:rPr>
                <w:sz w:val="20"/>
              </w:rPr>
              <w:t>扣除</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spacing w:before="131"/>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0"/>
              <w:ind w:left="218"/>
              <w:rPr>
                <w:sz w:val="20"/>
              </w:rPr>
            </w:pPr>
            <w:r>
              <w:rPr>
                <w:sz w:val="20"/>
              </w:rPr>
              <w:t>12</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5"/>
              <w:rPr>
                <w:sz w:val="20"/>
              </w:rPr>
            </w:pPr>
            <w:r>
              <w:rPr>
                <w:w w:val="95"/>
                <w:sz w:val="20"/>
              </w:rPr>
              <w:t>（五）疫情防控重点保障物资生产企</w:t>
            </w:r>
          </w:p>
          <w:p>
            <w:pPr>
              <w:pStyle w:val="11"/>
              <w:spacing w:before="3" w:line="239" w:lineRule="exact"/>
              <w:ind w:left="115"/>
              <w:rPr>
                <w:sz w:val="20"/>
              </w:rPr>
            </w:pPr>
            <w:r>
              <w:rPr>
                <w:spacing w:val="-14"/>
                <w:sz w:val="20"/>
              </w:rPr>
              <w:t xml:space="preserve">业单价 </w:t>
            </w:r>
            <w:r>
              <w:rPr>
                <w:sz w:val="20"/>
              </w:rPr>
              <w:t>500</w:t>
            </w:r>
            <w:r>
              <w:rPr>
                <w:spacing w:val="-8"/>
                <w:sz w:val="20"/>
              </w:rPr>
              <w:t xml:space="preserve"> 万元以上设备一次性扣除</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spacing w:before="130"/>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2"/>
              <w:ind w:left="218"/>
              <w:rPr>
                <w:sz w:val="20"/>
              </w:rPr>
            </w:pPr>
            <w:r>
              <w:rPr>
                <w:sz w:val="20"/>
              </w:rPr>
              <w:t>13</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ind w:left="115"/>
              <w:rPr>
                <w:sz w:val="20"/>
              </w:rPr>
            </w:pPr>
            <w:r>
              <w:rPr>
                <w:sz w:val="20"/>
              </w:rPr>
              <w:t>（六）海南自由贸易港企业固定资产</w:t>
            </w:r>
          </w:p>
          <w:p>
            <w:pPr>
              <w:pStyle w:val="11"/>
              <w:spacing w:before="3" w:line="238" w:lineRule="exact"/>
              <w:ind w:left="115"/>
              <w:rPr>
                <w:sz w:val="20"/>
              </w:rPr>
            </w:pPr>
            <w:r>
              <w:rPr>
                <w:sz w:val="20"/>
              </w:rPr>
              <w:t>一次性扣除</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spacing w:before="132"/>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6" w:hRule="atLeast"/>
          <w:jc w:val="center"/>
        </w:trPr>
        <w:tc>
          <w:tcPr>
            <w:tcW w:w="470" w:type="dxa"/>
            <w:tcBorders>
              <w:top w:val="single" w:color="000000" w:sz="6" w:space="0"/>
              <w:bottom w:val="single" w:color="000000" w:sz="6" w:space="0"/>
              <w:right w:val="single" w:color="000000" w:sz="6" w:space="0"/>
            </w:tcBorders>
            <w:noWrap w:val="0"/>
            <w:vAlign w:val="top"/>
          </w:tcPr>
          <w:p>
            <w:pPr>
              <w:pStyle w:val="11"/>
              <w:spacing w:before="130"/>
              <w:ind w:left="218"/>
              <w:rPr>
                <w:sz w:val="20"/>
              </w:rPr>
            </w:pPr>
            <w:r>
              <w:rPr>
                <w:sz w:val="20"/>
              </w:rPr>
              <w:t>14</w:t>
            </w:r>
          </w:p>
        </w:tc>
        <w:tc>
          <w:tcPr>
            <w:tcW w:w="10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25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5"/>
              <w:rPr>
                <w:sz w:val="20"/>
              </w:rPr>
            </w:pPr>
            <w:r>
              <w:rPr>
                <w:sz w:val="20"/>
              </w:rPr>
              <w:t>（七）技术进步、更新换代固定资产</w:t>
            </w:r>
          </w:p>
          <w:p>
            <w:pPr>
              <w:pStyle w:val="11"/>
              <w:spacing w:before="3" w:line="237" w:lineRule="exact"/>
              <w:ind w:left="115"/>
              <w:rPr>
                <w:sz w:val="20"/>
              </w:rPr>
            </w:pPr>
            <w:r>
              <w:rPr>
                <w:sz w:val="20"/>
              </w:rPr>
              <w:t>加速折旧</w:t>
            </w:r>
          </w:p>
        </w:tc>
        <w:tc>
          <w:tcPr>
            <w:tcW w:w="72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2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0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91" w:type="dxa"/>
            <w:tcBorders>
              <w:top w:val="single" w:color="000000" w:sz="6" w:space="0"/>
              <w:left w:val="single" w:color="000000" w:sz="6" w:space="0"/>
              <w:bottom w:val="single" w:color="000000" w:sz="6" w:space="0"/>
            </w:tcBorders>
            <w:noWrap w:val="0"/>
            <w:vAlign w:val="top"/>
          </w:tcPr>
          <w:p>
            <w:pPr>
              <w:pStyle w:val="11"/>
              <w:spacing w:before="130"/>
              <w:ind w:left="37"/>
              <w:jc w:val="center"/>
              <w:rPr>
                <w:sz w:val="20"/>
              </w:rPr>
            </w:pPr>
            <w:r>
              <w:rPr>
                <w:w w:val="99"/>
                <w:sz w:val="20"/>
              </w:rPr>
              <w:t>*</w:t>
            </w:r>
          </w:p>
        </w:tc>
      </w:tr>
    </w:tbl>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tbl>
      <w:tblPr>
        <w:tblStyle w:val="8"/>
        <w:tblW w:w="109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0"/>
        <w:gridCol w:w="1081"/>
        <w:gridCol w:w="1"/>
        <w:gridCol w:w="2539"/>
        <w:gridCol w:w="729"/>
        <w:gridCol w:w="711"/>
        <w:gridCol w:w="695"/>
        <w:gridCol w:w="709"/>
        <w:gridCol w:w="679"/>
        <w:gridCol w:w="1217"/>
        <w:gridCol w:w="764"/>
        <w:gridCol w:w="707"/>
        <w:gridCol w:w="69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8" w:hRule="atLeast"/>
          <w:jc w:val="center"/>
        </w:trPr>
        <w:tc>
          <w:tcPr>
            <w:tcW w:w="470" w:type="dxa"/>
            <w:tcBorders>
              <w:left w:val="single" w:color="000000" w:sz="12" w:space="0"/>
            </w:tcBorders>
            <w:noWrap w:val="0"/>
            <w:vAlign w:val="top"/>
          </w:tcPr>
          <w:p>
            <w:pPr>
              <w:pStyle w:val="11"/>
              <w:spacing w:before="132"/>
              <w:ind w:right="196"/>
              <w:jc w:val="right"/>
              <w:rPr>
                <w:sz w:val="20"/>
              </w:rPr>
            </w:pPr>
            <w:r>
              <w:rPr>
                <w:sz w:val="20"/>
              </w:rPr>
              <w:t>15</w:t>
            </w:r>
          </w:p>
        </w:tc>
        <w:tc>
          <w:tcPr>
            <w:tcW w:w="1082" w:type="dxa"/>
            <w:gridSpan w:val="2"/>
            <w:vMerge w:val="restart"/>
            <w:noWrap w:val="0"/>
            <w:vAlign w:val="top"/>
          </w:tcPr>
          <w:p>
            <w:pPr>
              <w:pStyle w:val="11"/>
              <w:rPr>
                <w:rFonts w:ascii="Times New Roman"/>
                <w:sz w:val="18"/>
              </w:rPr>
            </w:pPr>
          </w:p>
        </w:tc>
        <w:tc>
          <w:tcPr>
            <w:tcW w:w="2539" w:type="dxa"/>
            <w:noWrap w:val="0"/>
            <w:vAlign w:val="top"/>
          </w:tcPr>
          <w:p>
            <w:pPr>
              <w:pStyle w:val="11"/>
              <w:spacing w:before="2"/>
              <w:ind w:left="115"/>
              <w:rPr>
                <w:sz w:val="20"/>
              </w:rPr>
            </w:pPr>
            <w:r>
              <w:rPr>
                <w:sz w:val="20"/>
              </w:rPr>
              <w:t>（八）常年强震动、高腐蚀固定资产</w:t>
            </w:r>
          </w:p>
          <w:p>
            <w:pPr>
              <w:pStyle w:val="11"/>
              <w:spacing w:before="3" w:line="237" w:lineRule="exact"/>
              <w:ind w:left="115"/>
              <w:rPr>
                <w:sz w:val="20"/>
              </w:rPr>
            </w:pPr>
            <w:r>
              <w:rPr>
                <w:sz w:val="20"/>
              </w:rPr>
              <w:t>加速折旧</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rFonts w:ascii="Times New Roman"/>
                <w:sz w:val="18"/>
              </w:rPr>
            </w:pPr>
          </w:p>
        </w:tc>
        <w:tc>
          <w:tcPr>
            <w:tcW w:w="764" w:type="dxa"/>
            <w:noWrap w:val="0"/>
            <w:vAlign w:val="top"/>
          </w:tcPr>
          <w:p>
            <w:pPr>
              <w:pStyle w:val="11"/>
              <w:rPr>
                <w:rFonts w:ascii="Times New Roman"/>
                <w:sz w:val="18"/>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spacing w:before="132"/>
              <w:ind w:left="37"/>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8" w:hRule="atLeast"/>
          <w:jc w:val="center"/>
        </w:trPr>
        <w:tc>
          <w:tcPr>
            <w:tcW w:w="470" w:type="dxa"/>
            <w:tcBorders>
              <w:left w:val="single" w:color="000000" w:sz="12" w:space="0"/>
            </w:tcBorders>
            <w:noWrap w:val="0"/>
            <w:vAlign w:val="top"/>
          </w:tcPr>
          <w:p>
            <w:pPr>
              <w:pStyle w:val="11"/>
              <w:spacing w:before="44"/>
              <w:ind w:right="196"/>
              <w:jc w:val="right"/>
              <w:rPr>
                <w:sz w:val="20"/>
              </w:rPr>
            </w:pPr>
            <w:r>
              <w:rPr>
                <w:sz w:val="20"/>
              </w:rPr>
              <w:t>16</w:t>
            </w:r>
          </w:p>
        </w:tc>
        <w:tc>
          <w:tcPr>
            <w:tcW w:w="1082" w:type="dxa"/>
            <w:gridSpan w:val="2"/>
            <w:vMerge w:val="continue"/>
            <w:tcBorders>
              <w:top w:val="nil"/>
            </w:tcBorders>
            <w:noWrap w:val="0"/>
            <w:vAlign w:val="top"/>
          </w:tcPr>
          <w:p>
            <w:pPr>
              <w:rPr>
                <w:sz w:val="2"/>
                <w:szCs w:val="2"/>
              </w:rPr>
            </w:pPr>
          </w:p>
        </w:tc>
        <w:tc>
          <w:tcPr>
            <w:tcW w:w="2539" w:type="dxa"/>
            <w:noWrap w:val="0"/>
            <w:vAlign w:val="top"/>
          </w:tcPr>
          <w:p>
            <w:pPr>
              <w:pStyle w:val="11"/>
              <w:spacing w:before="44"/>
              <w:ind w:left="115"/>
              <w:rPr>
                <w:sz w:val="20"/>
              </w:rPr>
            </w:pPr>
            <w:r>
              <w:rPr>
                <w:sz w:val="20"/>
              </w:rPr>
              <w:t>（九）外购软件加速折旧</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rFonts w:ascii="Times New Roman"/>
                <w:sz w:val="18"/>
              </w:rPr>
            </w:pPr>
          </w:p>
        </w:tc>
        <w:tc>
          <w:tcPr>
            <w:tcW w:w="764" w:type="dxa"/>
            <w:noWrap w:val="0"/>
            <w:vAlign w:val="top"/>
          </w:tcPr>
          <w:p>
            <w:pPr>
              <w:pStyle w:val="11"/>
              <w:rPr>
                <w:rFonts w:ascii="Times New Roman"/>
                <w:sz w:val="18"/>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spacing w:before="44"/>
              <w:ind w:left="37"/>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jc w:val="center"/>
        </w:trPr>
        <w:tc>
          <w:tcPr>
            <w:tcW w:w="470" w:type="dxa"/>
            <w:tcBorders>
              <w:left w:val="single" w:color="000000" w:sz="12" w:space="0"/>
            </w:tcBorders>
            <w:noWrap w:val="0"/>
            <w:vAlign w:val="top"/>
          </w:tcPr>
          <w:p>
            <w:pPr>
              <w:pStyle w:val="11"/>
              <w:spacing w:before="129"/>
              <w:ind w:right="196"/>
              <w:jc w:val="right"/>
              <w:rPr>
                <w:sz w:val="20"/>
              </w:rPr>
            </w:pPr>
            <w:r>
              <w:rPr>
                <w:sz w:val="20"/>
              </w:rPr>
              <w:t>17</w:t>
            </w:r>
          </w:p>
        </w:tc>
        <w:tc>
          <w:tcPr>
            <w:tcW w:w="1082" w:type="dxa"/>
            <w:gridSpan w:val="2"/>
            <w:vMerge w:val="continue"/>
            <w:tcBorders>
              <w:top w:val="nil"/>
            </w:tcBorders>
            <w:noWrap w:val="0"/>
            <w:vAlign w:val="top"/>
          </w:tcPr>
          <w:p>
            <w:pPr>
              <w:rPr>
                <w:sz w:val="2"/>
                <w:szCs w:val="2"/>
              </w:rPr>
            </w:pPr>
          </w:p>
        </w:tc>
        <w:tc>
          <w:tcPr>
            <w:tcW w:w="2539" w:type="dxa"/>
            <w:noWrap w:val="0"/>
            <w:vAlign w:val="top"/>
          </w:tcPr>
          <w:p>
            <w:pPr>
              <w:pStyle w:val="11"/>
              <w:spacing w:before="2" w:line="250" w:lineRule="atLeast"/>
              <w:ind w:left="115" w:right="125"/>
              <w:rPr>
                <w:sz w:val="20"/>
              </w:rPr>
            </w:pPr>
            <w:r>
              <w:rPr>
                <w:sz w:val="20"/>
              </w:rPr>
              <w:t>（十）集成电路企业生产设备加速折旧</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rFonts w:ascii="Times New Roman"/>
                <w:sz w:val="18"/>
              </w:rPr>
            </w:pPr>
          </w:p>
        </w:tc>
        <w:tc>
          <w:tcPr>
            <w:tcW w:w="764" w:type="dxa"/>
            <w:noWrap w:val="0"/>
            <w:vAlign w:val="top"/>
          </w:tcPr>
          <w:p>
            <w:pPr>
              <w:pStyle w:val="11"/>
              <w:rPr>
                <w:rFonts w:ascii="Times New Roman"/>
                <w:sz w:val="18"/>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spacing w:before="129"/>
              <w:ind w:left="37"/>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jc w:val="center"/>
        </w:trPr>
        <w:tc>
          <w:tcPr>
            <w:tcW w:w="470" w:type="dxa"/>
            <w:tcBorders>
              <w:left w:val="single" w:color="000000" w:sz="12" w:space="0"/>
              <w:bottom w:val="single" w:color="000000" w:sz="12" w:space="0"/>
            </w:tcBorders>
            <w:noWrap w:val="0"/>
            <w:vAlign w:val="top"/>
          </w:tcPr>
          <w:p>
            <w:pPr>
              <w:pStyle w:val="11"/>
              <w:spacing w:before="20"/>
              <w:ind w:right="196"/>
              <w:jc w:val="right"/>
              <w:rPr>
                <w:sz w:val="20"/>
              </w:rPr>
            </w:pPr>
            <w:r>
              <w:rPr>
                <w:sz w:val="20"/>
              </w:rPr>
              <w:t>18</w:t>
            </w:r>
          </w:p>
        </w:tc>
        <w:tc>
          <w:tcPr>
            <w:tcW w:w="3621" w:type="dxa"/>
            <w:gridSpan w:val="3"/>
            <w:tcBorders>
              <w:bottom w:val="single" w:color="000000" w:sz="12" w:space="0"/>
            </w:tcBorders>
            <w:noWrap w:val="0"/>
            <w:vAlign w:val="top"/>
          </w:tcPr>
          <w:p>
            <w:pPr>
              <w:pStyle w:val="11"/>
              <w:spacing w:before="20"/>
              <w:ind w:left="113"/>
              <w:rPr>
                <w:sz w:val="20"/>
              </w:rPr>
            </w:pPr>
            <w:r>
              <w:rPr>
                <w:sz w:val="20"/>
              </w:rPr>
              <w:t>二、生产性生物资产（19+20）</w:t>
            </w:r>
          </w:p>
        </w:tc>
        <w:tc>
          <w:tcPr>
            <w:tcW w:w="729" w:type="dxa"/>
            <w:tcBorders>
              <w:bottom w:val="single" w:color="000000" w:sz="12" w:space="0"/>
            </w:tcBorders>
            <w:noWrap w:val="0"/>
            <w:vAlign w:val="top"/>
          </w:tcPr>
          <w:p>
            <w:pPr>
              <w:pStyle w:val="11"/>
              <w:rPr>
                <w:rFonts w:ascii="Times New Roman"/>
                <w:sz w:val="18"/>
              </w:rPr>
            </w:pPr>
          </w:p>
        </w:tc>
        <w:tc>
          <w:tcPr>
            <w:tcW w:w="711" w:type="dxa"/>
            <w:tcBorders>
              <w:bottom w:val="single" w:color="000000" w:sz="12" w:space="0"/>
            </w:tcBorders>
            <w:noWrap w:val="0"/>
            <w:vAlign w:val="top"/>
          </w:tcPr>
          <w:p>
            <w:pPr>
              <w:pStyle w:val="11"/>
              <w:rPr>
                <w:rFonts w:ascii="Times New Roman"/>
                <w:sz w:val="18"/>
              </w:rPr>
            </w:pPr>
          </w:p>
        </w:tc>
        <w:tc>
          <w:tcPr>
            <w:tcW w:w="695" w:type="dxa"/>
            <w:tcBorders>
              <w:bottom w:val="single" w:color="000000" w:sz="12" w:space="0"/>
            </w:tcBorders>
            <w:noWrap w:val="0"/>
            <w:vAlign w:val="top"/>
          </w:tcPr>
          <w:p>
            <w:pPr>
              <w:pStyle w:val="11"/>
              <w:rPr>
                <w:rFonts w:ascii="Times New Roman"/>
                <w:sz w:val="18"/>
              </w:rPr>
            </w:pPr>
          </w:p>
        </w:tc>
        <w:tc>
          <w:tcPr>
            <w:tcW w:w="709" w:type="dxa"/>
            <w:tcBorders>
              <w:bottom w:val="single" w:color="000000" w:sz="12" w:space="0"/>
            </w:tcBorders>
            <w:noWrap w:val="0"/>
            <w:vAlign w:val="top"/>
          </w:tcPr>
          <w:p>
            <w:pPr>
              <w:pStyle w:val="11"/>
              <w:rPr>
                <w:rFonts w:ascii="Times New Roman"/>
                <w:sz w:val="18"/>
              </w:rPr>
            </w:pPr>
          </w:p>
        </w:tc>
        <w:tc>
          <w:tcPr>
            <w:tcW w:w="679" w:type="dxa"/>
            <w:tcBorders>
              <w:bottom w:val="single" w:color="000000" w:sz="12" w:space="0"/>
            </w:tcBorders>
            <w:noWrap w:val="0"/>
            <w:vAlign w:val="top"/>
          </w:tcPr>
          <w:p>
            <w:pPr>
              <w:pStyle w:val="11"/>
              <w:rPr>
                <w:rFonts w:ascii="Times New Roman"/>
                <w:sz w:val="18"/>
              </w:rPr>
            </w:pPr>
          </w:p>
        </w:tc>
        <w:tc>
          <w:tcPr>
            <w:tcW w:w="1217" w:type="dxa"/>
            <w:tcBorders>
              <w:bottom w:val="single" w:color="000000" w:sz="12" w:space="0"/>
            </w:tcBorders>
            <w:noWrap w:val="0"/>
            <w:vAlign w:val="top"/>
          </w:tcPr>
          <w:p>
            <w:pPr>
              <w:pStyle w:val="11"/>
              <w:spacing w:before="20"/>
              <w:ind w:left="27"/>
              <w:jc w:val="center"/>
              <w:rPr>
                <w:sz w:val="20"/>
              </w:rPr>
            </w:pPr>
            <w:r>
              <w:rPr>
                <w:w w:val="99"/>
                <w:sz w:val="20"/>
              </w:rPr>
              <w:t>*</w:t>
            </w:r>
          </w:p>
        </w:tc>
        <w:tc>
          <w:tcPr>
            <w:tcW w:w="764" w:type="dxa"/>
            <w:tcBorders>
              <w:bottom w:val="single" w:color="000000" w:sz="12" w:space="0"/>
            </w:tcBorders>
            <w:noWrap w:val="0"/>
            <w:vAlign w:val="top"/>
          </w:tcPr>
          <w:p>
            <w:pPr>
              <w:pStyle w:val="11"/>
              <w:spacing w:before="20"/>
              <w:ind w:left="477"/>
              <w:rPr>
                <w:sz w:val="20"/>
              </w:rPr>
            </w:pPr>
            <w:r>
              <w:rPr>
                <w:w w:val="99"/>
                <w:sz w:val="20"/>
              </w:rPr>
              <w:t>*</w:t>
            </w:r>
          </w:p>
        </w:tc>
        <w:tc>
          <w:tcPr>
            <w:tcW w:w="707" w:type="dxa"/>
            <w:tcBorders>
              <w:bottom w:val="single" w:color="000000" w:sz="12" w:space="0"/>
            </w:tcBorders>
            <w:noWrap w:val="0"/>
            <w:vAlign w:val="top"/>
          </w:tcPr>
          <w:p>
            <w:pPr>
              <w:pStyle w:val="11"/>
              <w:rPr>
                <w:rFonts w:ascii="Times New Roman"/>
                <w:sz w:val="18"/>
              </w:rPr>
            </w:pPr>
          </w:p>
        </w:tc>
        <w:tc>
          <w:tcPr>
            <w:tcW w:w="691" w:type="dxa"/>
            <w:tcBorders>
              <w:bottom w:val="single" w:color="000000" w:sz="12" w:space="0"/>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top w:val="single" w:color="000000" w:sz="12" w:space="0"/>
              <w:left w:val="single" w:color="000000" w:sz="12" w:space="0"/>
            </w:tcBorders>
            <w:noWrap w:val="0"/>
            <w:vAlign w:val="top"/>
          </w:tcPr>
          <w:p>
            <w:pPr>
              <w:pStyle w:val="11"/>
              <w:spacing w:before="21"/>
              <w:ind w:right="196"/>
              <w:jc w:val="right"/>
              <w:rPr>
                <w:sz w:val="20"/>
              </w:rPr>
            </w:pPr>
            <w:r>
              <w:rPr>
                <w:sz w:val="20"/>
              </w:rPr>
              <w:t>19</w:t>
            </w:r>
          </w:p>
        </w:tc>
        <w:tc>
          <w:tcPr>
            <w:tcW w:w="3621" w:type="dxa"/>
            <w:gridSpan w:val="3"/>
            <w:tcBorders>
              <w:top w:val="single" w:color="000000" w:sz="12" w:space="0"/>
            </w:tcBorders>
            <w:noWrap w:val="0"/>
            <w:vAlign w:val="top"/>
          </w:tcPr>
          <w:p>
            <w:pPr>
              <w:pStyle w:val="11"/>
              <w:spacing w:before="21"/>
              <w:ind w:left="315"/>
              <w:rPr>
                <w:sz w:val="20"/>
              </w:rPr>
            </w:pPr>
            <w:r>
              <w:rPr>
                <w:sz w:val="20"/>
              </w:rPr>
              <w:t>（一）林木类</w:t>
            </w:r>
          </w:p>
        </w:tc>
        <w:tc>
          <w:tcPr>
            <w:tcW w:w="729" w:type="dxa"/>
            <w:tcBorders>
              <w:top w:val="single" w:color="000000" w:sz="12" w:space="0"/>
            </w:tcBorders>
            <w:noWrap w:val="0"/>
            <w:vAlign w:val="top"/>
          </w:tcPr>
          <w:p>
            <w:pPr>
              <w:pStyle w:val="11"/>
              <w:rPr>
                <w:rFonts w:ascii="Times New Roman"/>
                <w:sz w:val="18"/>
              </w:rPr>
            </w:pPr>
          </w:p>
        </w:tc>
        <w:tc>
          <w:tcPr>
            <w:tcW w:w="711" w:type="dxa"/>
            <w:tcBorders>
              <w:top w:val="single" w:color="000000" w:sz="12" w:space="0"/>
            </w:tcBorders>
            <w:noWrap w:val="0"/>
            <w:vAlign w:val="top"/>
          </w:tcPr>
          <w:p>
            <w:pPr>
              <w:pStyle w:val="11"/>
              <w:rPr>
                <w:rFonts w:ascii="Times New Roman"/>
                <w:sz w:val="18"/>
              </w:rPr>
            </w:pPr>
          </w:p>
        </w:tc>
        <w:tc>
          <w:tcPr>
            <w:tcW w:w="695" w:type="dxa"/>
            <w:tcBorders>
              <w:top w:val="single" w:color="000000" w:sz="12" w:space="0"/>
            </w:tcBorders>
            <w:noWrap w:val="0"/>
            <w:vAlign w:val="top"/>
          </w:tcPr>
          <w:p>
            <w:pPr>
              <w:pStyle w:val="11"/>
              <w:rPr>
                <w:rFonts w:ascii="Times New Roman"/>
                <w:sz w:val="18"/>
              </w:rPr>
            </w:pPr>
          </w:p>
        </w:tc>
        <w:tc>
          <w:tcPr>
            <w:tcW w:w="709" w:type="dxa"/>
            <w:tcBorders>
              <w:top w:val="single" w:color="000000" w:sz="12" w:space="0"/>
            </w:tcBorders>
            <w:noWrap w:val="0"/>
            <w:vAlign w:val="top"/>
          </w:tcPr>
          <w:p>
            <w:pPr>
              <w:pStyle w:val="11"/>
              <w:rPr>
                <w:rFonts w:ascii="Times New Roman"/>
                <w:sz w:val="18"/>
              </w:rPr>
            </w:pPr>
          </w:p>
        </w:tc>
        <w:tc>
          <w:tcPr>
            <w:tcW w:w="679" w:type="dxa"/>
            <w:tcBorders>
              <w:top w:val="single" w:color="000000" w:sz="12" w:space="0"/>
            </w:tcBorders>
            <w:noWrap w:val="0"/>
            <w:vAlign w:val="top"/>
          </w:tcPr>
          <w:p>
            <w:pPr>
              <w:pStyle w:val="11"/>
              <w:rPr>
                <w:rFonts w:ascii="Times New Roman"/>
                <w:sz w:val="18"/>
              </w:rPr>
            </w:pPr>
          </w:p>
        </w:tc>
        <w:tc>
          <w:tcPr>
            <w:tcW w:w="1217" w:type="dxa"/>
            <w:tcBorders>
              <w:top w:val="single" w:color="000000" w:sz="12" w:space="0"/>
            </w:tcBorders>
            <w:noWrap w:val="0"/>
            <w:vAlign w:val="top"/>
          </w:tcPr>
          <w:p>
            <w:pPr>
              <w:pStyle w:val="11"/>
              <w:spacing w:before="21"/>
              <w:ind w:left="27"/>
              <w:jc w:val="center"/>
              <w:rPr>
                <w:sz w:val="20"/>
              </w:rPr>
            </w:pPr>
            <w:r>
              <w:rPr>
                <w:w w:val="99"/>
                <w:sz w:val="20"/>
              </w:rPr>
              <w:t>*</w:t>
            </w:r>
          </w:p>
        </w:tc>
        <w:tc>
          <w:tcPr>
            <w:tcW w:w="764" w:type="dxa"/>
            <w:tcBorders>
              <w:top w:val="single" w:color="000000" w:sz="12" w:space="0"/>
            </w:tcBorders>
            <w:noWrap w:val="0"/>
            <w:vAlign w:val="top"/>
          </w:tcPr>
          <w:p>
            <w:pPr>
              <w:pStyle w:val="11"/>
              <w:spacing w:before="21"/>
              <w:ind w:left="477"/>
              <w:rPr>
                <w:sz w:val="20"/>
              </w:rPr>
            </w:pPr>
            <w:r>
              <w:rPr>
                <w:w w:val="99"/>
                <w:sz w:val="20"/>
              </w:rPr>
              <w:t>*</w:t>
            </w:r>
          </w:p>
        </w:tc>
        <w:tc>
          <w:tcPr>
            <w:tcW w:w="707" w:type="dxa"/>
            <w:tcBorders>
              <w:top w:val="single" w:color="000000" w:sz="12" w:space="0"/>
            </w:tcBorders>
            <w:noWrap w:val="0"/>
            <w:vAlign w:val="top"/>
          </w:tcPr>
          <w:p>
            <w:pPr>
              <w:pStyle w:val="11"/>
              <w:rPr>
                <w:rFonts w:ascii="Times New Roman"/>
                <w:sz w:val="18"/>
              </w:rPr>
            </w:pPr>
          </w:p>
        </w:tc>
        <w:tc>
          <w:tcPr>
            <w:tcW w:w="691" w:type="dxa"/>
            <w:tcBorders>
              <w:top w:val="single" w:color="000000" w:sz="12" w:space="0"/>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1"/>
              <w:ind w:right="196"/>
              <w:jc w:val="right"/>
              <w:rPr>
                <w:sz w:val="20"/>
              </w:rPr>
            </w:pPr>
            <w:r>
              <w:rPr>
                <w:sz w:val="20"/>
              </w:rPr>
              <w:t>20</w:t>
            </w:r>
          </w:p>
        </w:tc>
        <w:tc>
          <w:tcPr>
            <w:tcW w:w="3621" w:type="dxa"/>
            <w:gridSpan w:val="3"/>
            <w:noWrap w:val="0"/>
            <w:vAlign w:val="top"/>
          </w:tcPr>
          <w:p>
            <w:pPr>
              <w:pStyle w:val="11"/>
              <w:spacing w:before="21"/>
              <w:ind w:left="315"/>
              <w:rPr>
                <w:sz w:val="20"/>
              </w:rPr>
            </w:pPr>
            <w:r>
              <w:rPr>
                <w:sz w:val="20"/>
              </w:rPr>
              <w:t>（二）畜类</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1"/>
              <w:ind w:left="27"/>
              <w:jc w:val="center"/>
              <w:rPr>
                <w:sz w:val="20"/>
              </w:rPr>
            </w:pPr>
            <w:r>
              <w:rPr>
                <w:w w:val="99"/>
                <w:sz w:val="20"/>
              </w:rPr>
              <w:t>*</w:t>
            </w:r>
          </w:p>
        </w:tc>
        <w:tc>
          <w:tcPr>
            <w:tcW w:w="764" w:type="dxa"/>
            <w:noWrap w:val="0"/>
            <w:vAlign w:val="top"/>
          </w:tcPr>
          <w:p>
            <w:pPr>
              <w:pStyle w:val="11"/>
              <w:spacing w:before="21"/>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99" w:hRule="atLeast"/>
          <w:jc w:val="center"/>
        </w:trPr>
        <w:tc>
          <w:tcPr>
            <w:tcW w:w="470" w:type="dxa"/>
            <w:tcBorders>
              <w:left w:val="single" w:color="000000" w:sz="12" w:space="0"/>
              <w:bottom w:val="single" w:color="000000" w:sz="12" w:space="0"/>
            </w:tcBorders>
            <w:noWrap w:val="0"/>
            <w:vAlign w:val="top"/>
          </w:tcPr>
          <w:p>
            <w:pPr>
              <w:pStyle w:val="11"/>
              <w:spacing w:before="20"/>
              <w:ind w:right="196"/>
              <w:jc w:val="right"/>
              <w:rPr>
                <w:sz w:val="20"/>
              </w:rPr>
            </w:pPr>
            <w:r>
              <w:rPr>
                <w:sz w:val="20"/>
              </w:rPr>
              <w:t>21</w:t>
            </w:r>
          </w:p>
        </w:tc>
        <w:tc>
          <w:tcPr>
            <w:tcW w:w="3621" w:type="dxa"/>
            <w:gridSpan w:val="3"/>
            <w:tcBorders>
              <w:bottom w:val="single" w:color="000000" w:sz="12" w:space="0"/>
            </w:tcBorders>
            <w:noWrap w:val="0"/>
            <w:vAlign w:val="top"/>
          </w:tcPr>
          <w:p>
            <w:pPr>
              <w:pStyle w:val="11"/>
              <w:spacing w:before="20"/>
              <w:ind w:left="113"/>
              <w:rPr>
                <w:sz w:val="20"/>
              </w:rPr>
            </w:pPr>
            <w:r>
              <w:rPr>
                <w:sz w:val="20"/>
              </w:rPr>
              <w:t>三、无形资产（22+23+24+25+26+27+28+29）</w:t>
            </w:r>
          </w:p>
        </w:tc>
        <w:tc>
          <w:tcPr>
            <w:tcW w:w="729" w:type="dxa"/>
            <w:tcBorders>
              <w:bottom w:val="single" w:color="000000" w:sz="12" w:space="0"/>
            </w:tcBorders>
            <w:noWrap w:val="0"/>
            <w:vAlign w:val="top"/>
          </w:tcPr>
          <w:p>
            <w:pPr>
              <w:pStyle w:val="11"/>
              <w:rPr>
                <w:rFonts w:ascii="Times New Roman"/>
                <w:sz w:val="18"/>
              </w:rPr>
            </w:pPr>
          </w:p>
        </w:tc>
        <w:tc>
          <w:tcPr>
            <w:tcW w:w="711" w:type="dxa"/>
            <w:tcBorders>
              <w:bottom w:val="single" w:color="000000" w:sz="12" w:space="0"/>
            </w:tcBorders>
            <w:noWrap w:val="0"/>
            <w:vAlign w:val="top"/>
          </w:tcPr>
          <w:p>
            <w:pPr>
              <w:pStyle w:val="11"/>
              <w:rPr>
                <w:rFonts w:ascii="Times New Roman"/>
                <w:sz w:val="18"/>
              </w:rPr>
            </w:pPr>
          </w:p>
        </w:tc>
        <w:tc>
          <w:tcPr>
            <w:tcW w:w="695" w:type="dxa"/>
            <w:tcBorders>
              <w:bottom w:val="single" w:color="000000" w:sz="12" w:space="0"/>
            </w:tcBorders>
            <w:noWrap w:val="0"/>
            <w:vAlign w:val="top"/>
          </w:tcPr>
          <w:p>
            <w:pPr>
              <w:pStyle w:val="11"/>
              <w:rPr>
                <w:rFonts w:ascii="Times New Roman"/>
                <w:sz w:val="18"/>
              </w:rPr>
            </w:pPr>
          </w:p>
        </w:tc>
        <w:tc>
          <w:tcPr>
            <w:tcW w:w="709" w:type="dxa"/>
            <w:tcBorders>
              <w:bottom w:val="single" w:color="000000" w:sz="12" w:space="0"/>
            </w:tcBorders>
            <w:noWrap w:val="0"/>
            <w:vAlign w:val="top"/>
          </w:tcPr>
          <w:p>
            <w:pPr>
              <w:pStyle w:val="11"/>
              <w:rPr>
                <w:rFonts w:ascii="Times New Roman"/>
                <w:sz w:val="18"/>
              </w:rPr>
            </w:pPr>
          </w:p>
        </w:tc>
        <w:tc>
          <w:tcPr>
            <w:tcW w:w="679" w:type="dxa"/>
            <w:tcBorders>
              <w:bottom w:val="single" w:color="000000" w:sz="12" w:space="0"/>
            </w:tcBorders>
            <w:noWrap w:val="0"/>
            <w:vAlign w:val="top"/>
          </w:tcPr>
          <w:p>
            <w:pPr>
              <w:pStyle w:val="11"/>
              <w:rPr>
                <w:rFonts w:ascii="Times New Roman"/>
                <w:sz w:val="18"/>
              </w:rPr>
            </w:pPr>
          </w:p>
        </w:tc>
        <w:tc>
          <w:tcPr>
            <w:tcW w:w="1217" w:type="dxa"/>
            <w:tcBorders>
              <w:bottom w:val="single" w:color="000000" w:sz="12" w:space="0"/>
            </w:tcBorders>
            <w:noWrap w:val="0"/>
            <w:vAlign w:val="top"/>
          </w:tcPr>
          <w:p>
            <w:pPr>
              <w:pStyle w:val="11"/>
              <w:spacing w:before="20"/>
              <w:ind w:left="27"/>
              <w:jc w:val="center"/>
              <w:rPr>
                <w:sz w:val="20"/>
              </w:rPr>
            </w:pPr>
            <w:r>
              <w:rPr>
                <w:w w:val="99"/>
                <w:sz w:val="20"/>
              </w:rPr>
              <w:t>*</w:t>
            </w:r>
          </w:p>
        </w:tc>
        <w:tc>
          <w:tcPr>
            <w:tcW w:w="764" w:type="dxa"/>
            <w:tcBorders>
              <w:bottom w:val="single" w:color="000000" w:sz="12" w:space="0"/>
            </w:tcBorders>
            <w:noWrap w:val="0"/>
            <w:vAlign w:val="top"/>
          </w:tcPr>
          <w:p>
            <w:pPr>
              <w:pStyle w:val="11"/>
              <w:spacing w:before="20"/>
              <w:ind w:left="477"/>
              <w:rPr>
                <w:sz w:val="20"/>
              </w:rPr>
            </w:pPr>
            <w:r>
              <w:rPr>
                <w:w w:val="99"/>
                <w:sz w:val="20"/>
              </w:rPr>
              <w:t>*</w:t>
            </w:r>
          </w:p>
        </w:tc>
        <w:tc>
          <w:tcPr>
            <w:tcW w:w="707" w:type="dxa"/>
            <w:tcBorders>
              <w:bottom w:val="single" w:color="000000" w:sz="12" w:space="0"/>
            </w:tcBorders>
            <w:noWrap w:val="0"/>
            <w:vAlign w:val="top"/>
          </w:tcPr>
          <w:p>
            <w:pPr>
              <w:pStyle w:val="11"/>
              <w:rPr>
                <w:rFonts w:ascii="Times New Roman"/>
                <w:sz w:val="18"/>
              </w:rPr>
            </w:pPr>
          </w:p>
        </w:tc>
        <w:tc>
          <w:tcPr>
            <w:tcW w:w="691" w:type="dxa"/>
            <w:tcBorders>
              <w:bottom w:val="single" w:color="000000" w:sz="12" w:space="0"/>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top w:val="single" w:color="000000" w:sz="12" w:space="0"/>
              <w:left w:val="single" w:color="000000" w:sz="12" w:space="0"/>
            </w:tcBorders>
            <w:noWrap w:val="0"/>
            <w:vAlign w:val="top"/>
          </w:tcPr>
          <w:p>
            <w:pPr>
              <w:pStyle w:val="11"/>
              <w:spacing w:before="21"/>
              <w:ind w:right="196"/>
              <w:jc w:val="right"/>
              <w:rPr>
                <w:sz w:val="20"/>
              </w:rPr>
            </w:pPr>
            <w:r>
              <w:rPr>
                <w:sz w:val="20"/>
              </w:rPr>
              <w:t>22</w:t>
            </w:r>
          </w:p>
        </w:tc>
        <w:tc>
          <w:tcPr>
            <w:tcW w:w="1081" w:type="dxa"/>
            <w:vMerge w:val="restart"/>
            <w:tcBorders>
              <w:top w:val="single" w:color="000000" w:sz="12" w:space="0"/>
            </w:tcBorders>
            <w:noWrap w:val="0"/>
            <w:vAlign w:val="top"/>
          </w:tcPr>
          <w:p>
            <w:pPr>
              <w:pStyle w:val="11"/>
              <w:rPr>
                <w:rFonts w:ascii="Times New Roman"/>
                <w:sz w:val="20"/>
              </w:rPr>
            </w:pPr>
          </w:p>
          <w:p>
            <w:pPr>
              <w:pStyle w:val="11"/>
              <w:rPr>
                <w:rFonts w:ascii="Times New Roman"/>
                <w:sz w:val="20"/>
              </w:rPr>
            </w:pPr>
          </w:p>
          <w:p>
            <w:pPr>
              <w:pStyle w:val="11"/>
              <w:rPr>
                <w:rFonts w:ascii="Times New Roman"/>
                <w:sz w:val="20"/>
              </w:rPr>
            </w:pPr>
          </w:p>
          <w:p>
            <w:pPr>
              <w:pStyle w:val="11"/>
              <w:rPr>
                <w:rFonts w:ascii="Times New Roman"/>
                <w:sz w:val="20"/>
              </w:rPr>
            </w:pPr>
          </w:p>
          <w:p>
            <w:pPr>
              <w:pStyle w:val="11"/>
              <w:spacing w:before="8"/>
              <w:rPr>
                <w:rFonts w:ascii="Times New Roman"/>
                <w:sz w:val="17"/>
              </w:rPr>
            </w:pPr>
          </w:p>
          <w:p>
            <w:pPr>
              <w:pStyle w:val="11"/>
              <w:ind w:left="113"/>
              <w:rPr>
                <w:sz w:val="20"/>
              </w:rPr>
            </w:pPr>
            <w:r>
              <w:rPr>
                <w:sz w:val="20"/>
              </w:rPr>
              <w:t>所有无形资产</w:t>
            </w:r>
          </w:p>
        </w:tc>
        <w:tc>
          <w:tcPr>
            <w:tcW w:w="2540" w:type="dxa"/>
            <w:gridSpan w:val="2"/>
            <w:tcBorders>
              <w:top w:val="single" w:color="000000" w:sz="12" w:space="0"/>
            </w:tcBorders>
            <w:noWrap w:val="0"/>
            <w:vAlign w:val="top"/>
          </w:tcPr>
          <w:p>
            <w:pPr>
              <w:pStyle w:val="11"/>
              <w:spacing w:before="21"/>
              <w:ind w:left="115"/>
              <w:rPr>
                <w:sz w:val="20"/>
              </w:rPr>
            </w:pPr>
            <w:r>
              <w:rPr>
                <w:sz w:val="20"/>
              </w:rPr>
              <w:t>（一）专利权</w:t>
            </w:r>
          </w:p>
        </w:tc>
        <w:tc>
          <w:tcPr>
            <w:tcW w:w="729" w:type="dxa"/>
            <w:tcBorders>
              <w:top w:val="single" w:color="000000" w:sz="12" w:space="0"/>
            </w:tcBorders>
            <w:noWrap w:val="0"/>
            <w:vAlign w:val="top"/>
          </w:tcPr>
          <w:p>
            <w:pPr>
              <w:pStyle w:val="11"/>
              <w:rPr>
                <w:rFonts w:ascii="Times New Roman"/>
                <w:sz w:val="18"/>
              </w:rPr>
            </w:pPr>
          </w:p>
        </w:tc>
        <w:tc>
          <w:tcPr>
            <w:tcW w:w="711" w:type="dxa"/>
            <w:tcBorders>
              <w:top w:val="single" w:color="000000" w:sz="12" w:space="0"/>
            </w:tcBorders>
            <w:noWrap w:val="0"/>
            <w:vAlign w:val="top"/>
          </w:tcPr>
          <w:p>
            <w:pPr>
              <w:pStyle w:val="11"/>
              <w:rPr>
                <w:rFonts w:ascii="Times New Roman"/>
                <w:sz w:val="18"/>
              </w:rPr>
            </w:pPr>
          </w:p>
        </w:tc>
        <w:tc>
          <w:tcPr>
            <w:tcW w:w="695" w:type="dxa"/>
            <w:tcBorders>
              <w:top w:val="single" w:color="000000" w:sz="12" w:space="0"/>
            </w:tcBorders>
            <w:noWrap w:val="0"/>
            <w:vAlign w:val="top"/>
          </w:tcPr>
          <w:p>
            <w:pPr>
              <w:pStyle w:val="11"/>
              <w:rPr>
                <w:rFonts w:ascii="Times New Roman"/>
                <w:sz w:val="18"/>
              </w:rPr>
            </w:pPr>
          </w:p>
        </w:tc>
        <w:tc>
          <w:tcPr>
            <w:tcW w:w="709" w:type="dxa"/>
            <w:tcBorders>
              <w:top w:val="single" w:color="000000" w:sz="12" w:space="0"/>
            </w:tcBorders>
            <w:noWrap w:val="0"/>
            <w:vAlign w:val="top"/>
          </w:tcPr>
          <w:p>
            <w:pPr>
              <w:pStyle w:val="11"/>
              <w:rPr>
                <w:rFonts w:ascii="Times New Roman"/>
                <w:sz w:val="18"/>
              </w:rPr>
            </w:pPr>
          </w:p>
        </w:tc>
        <w:tc>
          <w:tcPr>
            <w:tcW w:w="679" w:type="dxa"/>
            <w:tcBorders>
              <w:top w:val="single" w:color="000000" w:sz="12" w:space="0"/>
            </w:tcBorders>
            <w:noWrap w:val="0"/>
            <w:vAlign w:val="top"/>
          </w:tcPr>
          <w:p>
            <w:pPr>
              <w:pStyle w:val="11"/>
              <w:rPr>
                <w:rFonts w:ascii="Times New Roman"/>
                <w:sz w:val="18"/>
              </w:rPr>
            </w:pPr>
          </w:p>
        </w:tc>
        <w:tc>
          <w:tcPr>
            <w:tcW w:w="1217" w:type="dxa"/>
            <w:tcBorders>
              <w:top w:val="single" w:color="000000" w:sz="12" w:space="0"/>
            </w:tcBorders>
            <w:noWrap w:val="0"/>
            <w:vAlign w:val="top"/>
          </w:tcPr>
          <w:p>
            <w:pPr>
              <w:pStyle w:val="11"/>
              <w:spacing w:before="21"/>
              <w:ind w:left="27"/>
              <w:jc w:val="center"/>
              <w:rPr>
                <w:sz w:val="20"/>
              </w:rPr>
            </w:pPr>
            <w:r>
              <w:rPr>
                <w:w w:val="99"/>
                <w:sz w:val="20"/>
              </w:rPr>
              <w:t>*</w:t>
            </w:r>
          </w:p>
        </w:tc>
        <w:tc>
          <w:tcPr>
            <w:tcW w:w="764" w:type="dxa"/>
            <w:tcBorders>
              <w:top w:val="single" w:color="000000" w:sz="12" w:space="0"/>
            </w:tcBorders>
            <w:noWrap w:val="0"/>
            <w:vAlign w:val="top"/>
          </w:tcPr>
          <w:p>
            <w:pPr>
              <w:pStyle w:val="11"/>
              <w:spacing w:before="21"/>
              <w:ind w:left="477"/>
              <w:rPr>
                <w:sz w:val="20"/>
              </w:rPr>
            </w:pPr>
            <w:r>
              <w:rPr>
                <w:w w:val="99"/>
                <w:sz w:val="20"/>
              </w:rPr>
              <w:t>*</w:t>
            </w:r>
          </w:p>
        </w:tc>
        <w:tc>
          <w:tcPr>
            <w:tcW w:w="707" w:type="dxa"/>
            <w:tcBorders>
              <w:top w:val="single" w:color="000000" w:sz="12" w:space="0"/>
            </w:tcBorders>
            <w:noWrap w:val="0"/>
            <w:vAlign w:val="top"/>
          </w:tcPr>
          <w:p>
            <w:pPr>
              <w:pStyle w:val="11"/>
              <w:rPr>
                <w:rFonts w:ascii="Times New Roman"/>
                <w:sz w:val="18"/>
              </w:rPr>
            </w:pPr>
          </w:p>
        </w:tc>
        <w:tc>
          <w:tcPr>
            <w:tcW w:w="691" w:type="dxa"/>
            <w:tcBorders>
              <w:top w:val="single" w:color="000000" w:sz="12" w:space="0"/>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1"/>
              <w:ind w:right="196"/>
              <w:jc w:val="right"/>
              <w:rPr>
                <w:sz w:val="20"/>
              </w:rPr>
            </w:pPr>
            <w:r>
              <w:rPr>
                <w:sz w:val="20"/>
              </w:rPr>
              <w:t>23</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1"/>
              <w:ind w:left="115"/>
              <w:rPr>
                <w:sz w:val="20"/>
              </w:rPr>
            </w:pPr>
            <w:r>
              <w:rPr>
                <w:sz w:val="20"/>
              </w:rPr>
              <w:t>（二）商标权</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1"/>
              <w:ind w:left="27"/>
              <w:jc w:val="center"/>
              <w:rPr>
                <w:sz w:val="20"/>
              </w:rPr>
            </w:pPr>
            <w:r>
              <w:rPr>
                <w:w w:val="99"/>
                <w:sz w:val="20"/>
              </w:rPr>
              <w:t>*</w:t>
            </w:r>
          </w:p>
        </w:tc>
        <w:tc>
          <w:tcPr>
            <w:tcW w:w="764" w:type="dxa"/>
            <w:noWrap w:val="0"/>
            <w:vAlign w:val="top"/>
          </w:tcPr>
          <w:p>
            <w:pPr>
              <w:pStyle w:val="11"/>
              <w:spacing w:before="21"/>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0"/>
              <w:ind w:right="196"/>
              <w:jc w:val="right"/>
              <w:rPr>
                <w:sz w:val="20"/>
              </w:rPr>
            </w:pPr>
            <w:r>
              <w:rPr>
                <w:sz w:val="20"/>
              </w:rPr>
              <w:t>24</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0"/>
              <w:ind w:left="115"/>
              <w:rPr>
                <w:sz w:val="20"/>
              </w:rPr>
            </w:pPr>
            <w:r>
              <w:rPr>
                <w:sz w:val="20"/>
              </w:rPr>
              <w:t>（三）著作权</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0"/>
              <w:ind w:left="27"/>
              <w:jc w:val="center"/>
              <w:rPr>
                <w:sz w:val="20"/>
              </w:rPr>
            </w:pPr>
            <w:r>
              <w:rPr>
                <w:w w:val="99"/>
                <w:sz w:val="20"/>
              </w:rPr>
              <w:t>*</w:t>
            </w:r>
          </w:p>
        </w:tc>
        <w:tc>
          <w:tcPr>
            <w:tcW w:w="764" w:type="dxa"/>
            <w:noWrap w:val="0"/>
            <w:vAlign w:val="top"/>
          </w:tcPr>
          <w:p>
            <w:pPr>
              <w:pStyle w:val="11"/>
              <w:spacing w:before="20"/>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2"/>
              <w:ind w:right="196"/>
              <w:jc w:val="right"/>
              <w:rPr>
                <w:sz w:val="20"/>
              </w:rPr>
            </w:pPr>
            <w:r>
              <w:rPr>
                <w:sz w:val="20"/>
              </w:rPr>
              <w:t>25</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2"/>
              <w:ind w:left="115"/>
              <w:rPr>
                <w:sz w:val="20"/>
              </w:rPr>
            </w:pPr>
            <w:r>
              <w:rPr>
                <w:sz w:val="20"/>
              </w:rPr>
              <w:t>（四）土地使用权</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2"/>
              <w:ind w:left="27"/>
              <w:jc w:val="center"/>
              <w:rPr>
                <w:sz w:val="20"/>
              </w:rPr>
            </w:pPr>
            <w:r>
              <w:rPr>
                <w:w w:val="99"/>
                <w:sz w:val="20"/>
              </w:rPr>
              <w:t>*</w:t>
            </w:r>
          </w:p>
        </w:tc>
        <w:tc>
          <w:tcPr>
            <w:tcW w:w="764" w:type="dxa"/>
            <w:noWrap w:val="0"/>
            <w:vAlign w:val="top"/>
          </w:tcPr>
          <w:p>
            <w:pPr>
              <w:pStyle w:val="11"/>
              <w:spacing w:before="22"/>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1"/>
              <w:ind w:right="196"/>
              <w:jc w:val="right"/>
              <w:rPr>
                <w:sz w:val="20"/>
              </w:rPr>
            </w:pPr>
            <w:r>
              <w:rPr>
                <w:sz w:val="20"/>
              </w:rPr>
              <w:t>26</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1"/>
              <w:ind w:left="115"/>
              <w:rPr>
                <w:sz w:val="20"/>
              </w:rPr>
            </w:pPr>
            <w:r>
              <w:rPr>
                <w:sz w:val="20"/>
              </w:rPr>
              <w:t>（五）非专利技术</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1"/>
              <w:ind w:left="27"/>
              <w:jc w:val="center"/>
              <w:rPr>
                <w:sz w:val="20"/>
              </w:rPr>
            </w:pPr>
            <w:r>
              <w:rPr>
                <w:w w:val="99"/>
                <w:sz w:val="20"/>
              </w:rPr>
              <w:t>*</w:t>
            </w:r>
          </w:p>
        </w:tc>
        <w:tc>
          <w:tcPr>
            <w:tcW w:w="764" w:type="dxa"/>
            <w:noWrap w:val="0"/>
            <w:vAlign w:val="top"/>
          </w:tcPr>
          <w:p>
            <w:pPr>
              <w:pStyle w:val="11"/>
              <w:spacing w:before="21"/>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jc w:val="center"/>
        </w:trPr>
        <w:tc>
          <w:tcPr>
            <w:tcW w:w="470" w:type="dxa"/>
            <w:tcBorders>
              <w:left w:val="single" w:color="000000" w:sz="12" w:space="0"/>
            </w:tcBorders>
            <w:noWrap w:val="0"/>
            <w:vAlign w:val="top"/>
          </w:tcPr>
          <w:p>
            <w:pPr>
              <w:pStyle w:val="11"/>
              <w:spacing w:before="21"/>
              <w:ind w:right="196"/>
              <w:jc w:val="right"/>
              <w:rPr>
                <w:sz w:val="20"/>
              </w:rPr>
            </w:pPr>
            <w:r>
              <w:rPr>
                <w:sz w:val="20"/>
              </w:rPr>
              <w:t>27</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1"/>
              <w:ind w:left="115"/>
              <w:rPr>
                <w:sz w:val="20"/>
              </w:rPr>
            </w:pPr>
            <w:r>
              <w:rPr>
                <w:sz w:val="20"/>
              </w:rPr>
              <w:t>（六）特许权使用费</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1"/>
              <w:ind w:left="27"/>
              <w:jc w:val="center"/>
              <w:rPr>
                <w:sz w:val="20"/>
              </w:rPr>
            </w:pPr>
            <w:r>
              <w:rPr>
                <w:w w:val="99"/>
                <w:sz w:val="20"/>
              </w:rPr>
              <w:t>*</w:t>
            </w:r>
          </w:p>
        </w:tc>
        <w:tc>
          <w:tcPr>
            <w:tcW w:w="764" w:type="dxa"/>
            <w:noWrap w:val="0"/>
            <w:vAlign w:val="top"/>
          </w:tcPr>
          <w:p>
            <w:pPr>
              <w:pStyle w:val="11"/>
              <w:spacing w:before="21"/>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0"/>
              <w:ind w:right="196"/>
              <w:jc w:val="right"/>
              <w:rPr>
                <w:sz w:val="20"/>
              </w:rPr>
            </w:pPr>
            <w:r>
              <w:rPr>
                <w:sz w:val="20"/>
              </w:rPr>
              <w:t>28</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0"/>
              <w:ind w:left="115"/>
              <w:rPr>
                <w:sz w:val="20"/>
              </w:rPr>
            </w:pPr>
            <w:r>
              <w:rPr>
                <w:sz w:val="20"/>
              </w:rPr>
              <w:t>（七）软件</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0"/>
              <w:ind w:left="27"/>
              <w:jc w:val="center"/>
              <w:rPr>
                <w:sz w:val="20"/>
              </w:rPr>
            </w:pPr>
            <w:r>
              <w:rPr>
                <w:w w:val="99"/>
                <w:sz w:val="20"/>
              </w:rPr>
              <w:t>*</w:t>
            </w:r>
          </w:p>
        </w:tc>
        <w:tc>
          <w:tcPr>
            <w:tcW w:w="764" w:type="dxa"/>
            <w:noWrap w:val="0"/>
            <w:vAlign w:val="top"/>
          </w:tcPr>
          <w:p>
            <w:pPr>
              <w:pStyle w:val="11"/>
              <w:spacing w:before="20"/>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2"/>
              <w:ind w:right="196"/>
              <w:jc w:val="right"/>
              <w:rPr>
                <w:sz w:val="20"/>
              </w:rPr>
            </w:pPr>
            <w:r>
              <w:rPr>
                <w:sz w:val="20"/>
              </w:rPr>
              <w:t>29</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22"/>
              <w:ind w:left="115"/>
              <w:rPr>
                <w:sz w:val="20"/>
              </w:rPr>
            </w:pPr>
            <w:r>
              <w:rPr>
                <w:sz w:val="20"/>
              </w:rPr>
              <w:t>（八）其他</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2"/>
              <w:ind w:left="27"/>
              <w:jc w:val="center"/>
              <w:rPr>
                <w:sz w:val="20"/>
              </w:rPr>
            </w:pPr>
            <w:r>
              <w:rPr>
                <w:w w:val="99"/>
                <w:sz w:val="20"/>
              </w:rPr>
              <w:t>*</w:t>
            </w:r>
          </w:p>
        </w:tc>
        <w:tc>
          <w:tcPr>
            <w:tcW w:w="764" w:type="dxa"/>
            <w:noWrap w:val="0"/>
            <w:vAlign w:val="top"/>
          </w:tcPr>
          <w:p>
            <w:pPr>
              <w:pStyle w:val="11"/>
              <w:spacing w:before="22"/>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jc w:val="center"/>
        </w:trPr>
        <w:tc>
          <w:tcPr>
            <w:tcW w:w="470" w:type="dxa"/>
            <w:tcBorders>
              <w:left w:val="single" w:color="000000" w:sz="12" w:space="0"/>
            </w:tcBorders>
            <w:noWrap w:val="0"/>
            <w:vAlign w:val="top"/>
          </w:tcPr>
          <w:p>
            <w:pPr>
              <w:pStyle w:val="11"/>
              <w:spacing w:before="43"/>
              <w:ind w:right="196"/>
              <w:jc w:val="right"/>
              <w:rPr>
                <w:sz w:val="20"/>
              </w:rPr>
            </w:pPr>
            <w:r>
              <w:rPr>
                <w:sz w:val="20"/>
              </w:rPr>
              <w:t>30</w:t>
            </w:r>
          </w:p>
        </w:tc>
        <w:tc>
          <w:tcPr>
            <w:tcW w:w="1081" w:type="dxa"/>
            <w:vMerge w:val="restart"/>
            <w:noWrap w:val="0"/>
            <w:vAlign w:val="top"/>
          </w:tcPr>
          <w:p>
            <w:pPr>
              <w:pStyle w:val="11"/>
              <w:spacing w:before="2" w:line="242" w:lineRule="auto"/>
              <w:ind w:left="113" w:right="141"/>
              <w:jc w:val="both"/>
              <w:rPr>
                <w:sz w:val="20"/>
              </w:rPr>
            </w:pPr>
            <w:r>
              <w:rPr>
                <w:sz w:val="20"/>
              </w:rPr>
              <w:t>其中：享受无形资产加速摊销及一次性摊销政策的资产加速摊销额大于一般摊销额</w:t>
            </w:r>
          </w:p>
          <w:p>
            <w:pPr>
              <w:pStyle w:val="11"/>
              <w:spacing w:before="2" w:line="238" w:lineRule="exact"/>
              <w:ind w:left="113"/>
              <w:rPr>
                <w:sz w:val="20"/>
              </w:rPr>
            </w:pPr>
            <w:r>
              <w:rPr>
                <w:sz w:val="20"/>
              </w:rPr>
              <w:t>的部分</w:t>
            </w:r>
          </w:p>
        </w:tc>
        <w:tc>
          <w:tcPr>
            <w:tcW w:w="2540" w:type="dxa"/>
            <w:gridSpan w:val="2"/>
            <w:noWrap w:val="0"/>
            <w:vAlign w:val="top"/>
          </w:tcPr>
          <w:p>
            <w:pPr>
              <w:pStyle w:val="11"/>
              <w:spacing w:before="43"/>
              <w:ind w:left="115"/>
              <w:rPr>
                <w:sz w:val="20"/>
              </w:rPr>
            </w:pPr>
            <w:r>
              <w:rPr>
                <w:sz w:val="20"/>
              </w:rPr>
              <w:t>（一）企业外购软件加速摊销</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rFonts w:ascii="Times New Roman"/>
                <w:sz w:val="18"/>
              </w:rPr>
            </w:pPr>
          </w:p>
        </w:tc>
        <w:tc>
          <w:tcPr>
            <w:tcW w:w="764" w:type="dxa"/>
            <w:noWrap w:val="0"/>
            <w:vAlign w:val="top"/>
          </w:tcPr>
          <w:p>
            <w:pPr>
              <w:pStyle w:val="11"/>
              <w:rPr>
                <w:rFonts w:ascii="Times New Roman"/>
                <w:sz w:val="18"/>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spacing w:before="43"/>
              <w:ind w:left="37"/>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jc w:val="center"/>
        </w:trPr>
        <w:tc>
          <w:tcPr>
            <w:tcW w:w="470" w:type="dxa"/>
            <w:tcBorders>
              <w:left w:val="single" w:color="000000" w:sz="12" w:space="0"/>
            </w:tcBorders>
            <w:noWrap w:val="0"/>
            <w:vAlign w:val="top"/>
          </w:tcPr>
          <w:p>
            <w:pPr>
              <w:pStyle w:val="11"/>
              <w:spacing w:before="4"/>
              <w:rPr>
                <w:rFonts w:ascii="Times New Roman"/>
                <w:sz w:val="18"/>
              </w:rPr>
            </w:pPr>
          </w:p>
          <w:p>
            <w:pPr>
              <w:pStyle w:val="11"/>
              <w:ind w:right="196"/>
              <w:jc w:val="right"/>
              <w:rPr>
                <w:sz w:val="20"/>
              </w:rPr>
            </w:pPr>
            <w:r>
              <w:rPr>
                <w:sz w:val="20"/>
              </w:rPr>
              <w:t>31</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84" w:line="242" w:lineRule="auto"/>
              <w:ind w:left="115" w:right="125"/>
              <w:rPr>
                <w:sz w:val="20"/>
              </w:rPr>
            </w:pPr>
            <w:r>
              <w:rPr>
                <w:sz w:val="20"/>
              </w:rPr>
              <w:t>（二）海南自由贸易港企业无形资产加速摊销</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rFonts w:ascii="Times New Roman"/>
                <w:sz w:val="18"/>
              </w:rPr>
            </w:pPr>
          </w:p>
        </w:tc>
        <w:tc>
          <w:tcPr>
            <w:tcW w:w="764" w:type="dxa"/>
            <w:noWrap w:val="0"/>
            <w:vAlign w:val="top"/>
          </w:tcPr>
          <w:p>
            <w:pPr>
              <w:pStyle w:val="11"/>
              <w:rPr>
                <w:rFonts w:ascii="Times New Roman"/>
                <w:sz w:val="18"/>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spacing w:before="4"/>
              <w:rPr>
                <w:rFonts w:ascii="Times New Roman"/>
                <w:sz w:val="18"/>
              </w:rPr>
            </w:pPr>
          </w:p>
          <w:p>
            <w:pPr>
              <w:pStyle w:val="11"/>
              <w:ind w:left="37"/>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jc w:val="center"/>
        </w:trPr>
        <w:tc>
          <w:tcPr>
            <w:tcW w:w="470" w:type="dxa"/>
            <w:tcBorders>
              <w:left w:val="single" w:color="000000" w:sz="12" w:space="0"/>
            </w:tcBorders>
            <w:noWrap w:val="0"/>
            <w:vAlign w:val="top"/>
          </w:tcPr>
          <w:p>
            <w:pPr>
              <w:pStyle w:val="11"/>
              <w:spacing w:before="8"/>
              <w:rPr>
                <w:rFonts w:ascii="Times New Roman"/>
                <w:sz w:val="21"/>
              </w:rPr>
            </w:pPr>
          </w:p>
          <w:p>
            <w:pPr>
              <w:pStyle w:val="11"/>
              <w:ind w:right="196"/>
              <w:jc w:val="right"/>
              <w:rPr>
                <w:sz w:val="20"/>
              </w:rPr>
            </w:pPr>
            <w:r>
              <w:rPr>
                <w:sz w:val="20"/>
              </w:rPr>
              <w:t>32</w:t>
            </w:r>
          </w:p>
        </w:tc>
        <w:tc>
          <w:tcPr>
            <w:tcW w:w="1081" w:type="dxa"/>
            <w:vMerge w:val="continue"/>
            <w:tcBorders>
              <w:top w:val="nil"/>
            </w:tcBorders>
            <w:noWrap w:val="0"/>
            <w:vAlign w:val="top"/>
          </w:tcPr>
          <w:p>
            <w:pPr>
              <w:rPr>
                <w:sz w:val="2"/>
                <w:szCs w:val="2"/>
              </w:rPr>
            </w:pPr>
          </w:p>
        </w:tc>
        <w:tc>
          <w:tcPr>
            <w:tcW w:w="2540" w:type="dxa"/>
            <w:gridSpan w:val="2"/>
            <w:noWrap w:val="0"/>
            <w:vAlign w:val="top"/>
          </w:tcPr>
          <w:p>
            <w:pPr>
              <w:pStyle w:val="11"/>
              <w:spacing w:before="120" w:line="242" w:lineRule="auto"/>
              <w:ind w:left="115" w:right="125"/>
              <w:rPr>
                <w:sz w:val="20"/>
              </w:rPr>
            </w:pPr>
            <w:r>
              <w:rPr>
                <w:sz w:val="20"/>
              </w:rPr>
              <w:t>（三）海南自由贸易港企业无形资产一次性摊销</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rFonts w:ascii="Times New Roman"/>
                <w:sz w:val="18"/>
              </w:rPr>
            </w:pPr>
          </w:p>
        </w:tc>
        <w:tc>
          <w:tcPr>
            <w:tcW w:w="764" w:type="dxa"/>
            <w:noWrap w:val="0"/>
            <w:vAlign w:val="top"/>
          </w:tcPr>
          <w:p>
            <w:pPr>
              <w:pStyle w:val="11"/>
              <w:rPr>
                <w:rFonts w:ascii="Times New Roman"/>
                <w:sz w:val="18"/>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spacing w:before="8"/>
              <w:rPr>
                <w:rFonts w:ascii="Times New Roman"/>
                <w:sz w:val="21"/>
              </w:rPr>
            </w:pPr>
          </w:p>
          <w:p>
            <w:pPr>
              <w:pStyle w:val="11"/>
              <w:ind w:left="37"/>
              <w:jc w:val="center"/>
              <w:rPr>
                <w:sz w:val="20"/>
              </w:rPr>
            </w:pPr>
            <w:r>
              <w:rPr>
                <w:w w:val="99"/>
                <w:sz w:val="2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jc w:val="center"/>
        </w:trPr>
        <w:tc>
          <w:tcPr>
            <w:tcW w:w="470" w:type="dxa"/>
            <w:tcBorders>
              <w:left w:val="single" w:color="000000" w:sz="12" w:space="0"/>
              <w:bottom w:val="single" w:color="000000" w:sz="12" w:space="0"/>
            </w:tcBorders>
            <w:noWrap w:val="0"/>
            <w:vAlign w:val="top"/>
          </w:tcPr>
          <w:p>
            <w:pPr>
              <w:pStyle w:val="11"/>
              <w:spacing w:before="22"/>
              <w:ind w:right="196"/>
              <w:jc w:val="right"/>
              <w:rPr>
                <w:sz w:val="20"/>
              </w:rPr>
            </w:pPr>
            <w:r>
              <w:rPr>
                <w:sz w:val="20"/>
              </w:rPr>
              <w:t>33</w:t>
            </w:r>
          </w:p>
        </w:tc>
        <w:tc>
          <w:tcPr>
            <w:tcW w:w="3621" w:type="dxa"/>
            <w:gridSpan w:val="3"/>
            <w:tcBorders>
              <w:bottom w:val="single" w:color="000000" w:sz="12" w:space="0"/>
            </w:tcBorders>
            <w:noWrap w:val="0"/>
            <w:vAlign w:val="top"/>
          </w:tcPr>
          <w:p>
            <w:pPr>
              <w:pStyle w:val="11"/>
              <w:spacing w:before="22"/>
              <w:ind w:left="113"/>
              <w:rPr>
                <w:sz w:val="20"/>
              </w:rPr>
            </w:pPr>
            <w:r>
              <w:rPr>
                <w:sz w:val="20"/>
              </w:rPr>
              <w:t>四、长期待摊费用（34+35+36+37+38）</w:t>
            </w:r>
          </w:p>
        </w:tc>
        <w:tc>
          <w:tcPr>
            <w:tcW w:w="729" w:type="dxa"/>
            <w:tcBorders>
              <w:bottom w:val="single" w:color="000000" w:sz="12" w:space="0"/>
            </w:tcBorders>
            <w:noWrap w:val="0"/>
            <w:vAlign w:val="top"/>
          </w:tcPr>
          <w:p>
            <w:pPr>
              <w:pStyle w:val="11"/>
              <w:rPr>
                <w:rFonts w:ascii="Times New Roman"/>
                <w:sz w:val="18"/>
              </w:rPr>
            </w:pPr>
          </w:p>
        </w:tc>
        <w:tc>
          <w:tcPr>
            <w:tcW w:w="711" w:type="dxa"/>
            <w:tcBorders>
              <w:bottom w:val="single" w:color="000000" w:sz="12" w:space="0"/>
            </w:tcBorders>
            <w:noWrap w:val="0"/>
            <w:vAlign w:val="top"/>
          </w:tcPr>
          <w:p>
            <w:pPr>
              <w:pStyle w:val="11"/>
              <w:rPr>
                <w:rFonts w:ascii="Times New Roman"/>
                <w:sz w:val="18"/>
              </w:rPr>
            </w:pPr>
          </w:p>
        </w:tc>
        <w:tc>
          <w:tcPr>
            <w:tcW w:w="695" w:type="dxa"/>
            <w:tcBorders>
              <w:bottom w:val="single" w:color="000000" w:sz="12" w:space="0"/>
            </w:tcBorders>
            <w:noWrap w:val="0"/>
            <w:vAlign w:val="top"/>
          </w:tcPr>
          <w:p>
            <w:pPr>
              <w:pStyle w:val="11"/>
              <w:rPr>
                <w:rFonts w:ascii="Times New Roman"/>
                <w:sz w:val="18"/>
              </w:rPr>
            </w:pPr>
          </w:p>
        </w:tc>
        <w:tc>
          <w:tcPr>
            <w:tcW w:w="709" w:type="dxa"/>
            <w:tcBorders>
              <w:bottom w:val="single" w:color="000000" w:sz="12" w:space="0"/>
            </w:tcBorders>
            <w:noWrap w:val="0"/>
            <w:vAlign w:val="top"/>
          </w:tcPr>
          <w:p>
            <w:pPr>
              <w:pStyle w:val="11"/>
              <w:rPr>
                <w:rFonts w:ascii="Times New Roman"/>
                <w:sz w:val="18"/>
              </w:rPr>
            </w:pPr>
          </w:p>
        </w:tc>
        <w:tc>
          <w:tcPr>
            <w:tcW w:w="679" w:type="dxa"/>
            <w:tcBorders>
              <w:bottom w:val="single" w:color="000000" w:sz="12" w:space="0"/>
            </w:tcBorders>
            <w:noWrap w:val="0"/>
            <w:vAlign w:val="top"/>
          </w:tcPr>
          <w:p>
            <w:pPr>
              <w:pStyle w:val="11"/>
              <w:rPr>
                <w:rFonts w:ascii="Times New Roman"/>
                <w:sz w:val="18"/>
              </w:rPr>
            </w:pPr>
          </w:p>
        </w:tc>
        <w:tc>
          <w:tcPr>
            <w:tcW w:w="1217" w:type="dxa"/>
            <w:tcBorders>
              <w:bottom w:val="single" w:color="000000" w:sz="12" w:space="0"/>
            </w:tcBorders>
            <w:noWrap w:val="0"/>
            <w:vAlign w:val="top"/>
          </w:tcPr>
          <w:p>
            <w:pPr>
              <w:pStyle w:val="11"/>
              <w:spacing w:before="22"/>
              <w:ind w:left="27"/>
              <w:jc w:val="center"/>
              <w:rPr>
                <w:sz w:val="20"/>
              </w:rPr>
            </w:pPr>
            <w:r>
              <w:rPr>
                <w:w w:val="99"/>
                <w:sz w:val="20"/>
              </w:rPr>
              <w:t>*</w:t>
            </w:r>
          </w:p>
        </w:tc>
        <w:tc>
          <w:tcPr>
            <w:tcW w:w="764" w:type="dxa"/>
            <w:tcBorders>
              <w:bottom w:val="single" w:color="000000" w:sz="12" w:space="0"/>
            </w:tcBorders>
            <w:noWrap w:val="0"/>
            <w:vAlign w:val="top"/>
          </w:tcPr>
          <w:p>
            <w:pPr>
              <w:pStyle w:val="11"/>
              <w:spacing w:before="22"/>
              <w:ind w:left="477"/>
              <w:rPr>
                <w:sz w:val="20"/>
              </w:rPr>
            </w:pPr>
            <w:r>
              <w:rPr>
                <w:w w:val="99"/>
                <w:sz w:val="20"/>
              </w:rPr>
              <w:t>*</w:t>
            </w:r>
          </w:p>
        </w:tc>
        <w:tc>
          <w:tcPr>
            <w:tcW w:w="707" w:type="dxa"/>
            <w:tcBorders>
              <w:bottom w:val="single" w:color="000000" w:sz="12" w:space="0"/>
            </w:tcBorders>
            <w:noWrap w:val="0"/>
            <w:vAlign w:val="top"/>
          </w:tcPr>
          <w:p>
            <w:pPr>
              <w:pStyle w:val="11"/>
              <w:rPr>
                <w:rFonts w:ascii="Times New Roman"/>
                <w:sz w:val="18"/>
              </w:rPr>
            </w:pPr>
          </w:p>
        </w:tc>
        <w:tc>
          <w:tcPr>
            <w:tcW w:w="691" w:type="dxa"/>
            <w:tcBorders>
              <w:bottom w:val="single" w:color="000000" w:sz="12" w:space="0"/>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top w:val="single" w:color="000000" w:sz="12" w:space="0"/>
              <w:left w:val="single" w:color="000000" w:sz="12" w:space="0"/>
            </w:tcBorders>
            <w:noWrap w:val="0"/>
            <w:vAlign w:val="top"/>
          </w:tcPr>
          <w:p>
            <w:pPr>
              <w:pStyle w:val="11"/>
              <w:spacing w:before="21"/>
              <w:ind w:right="196"/>
              <w:jc w:val="right"/>
              <w:rPr>
                <w:sz w:val="20"/>
              </w:rPr>
            </w:pPr>
            <w:r>
              <w:rPr>
                <w:sz w:val="20"/>
              </w:rPr>
              <w:t>34</w:t>
            </w:r>
          </w:p>
        </w:tc>
        <w:tc>
          <w:tcPr>
            <w:tcW w:w="3621" w:type="dxa"/>
            <w:gridSpan w:val="3"/>
            <w:tcBorders>
              <w:top w:val="single" w:color="000000" w:sz="12" w:space="0"/>
            </w:tcBorders>
            <w:noWrap w:val="0"/>
            <w:vAlign w:val="top"/>
          </w:tcPr>
          <w:p>
            <w:pPr>
              <w:pStyle w:val="11"/>
              <w:spacing w:before="21"/>
              <w:ind w:left="315"/>
              <w:rPr>
                <w:sz w:val="20"/>
              </w:rPr>
            </w:pPr>
            <w:r>
              <w:rPr>
                <w:sz w:val="20"/>
              </w:rPr>
              <w:t>（一）已足额提取折旧的固定资产的改建支出</w:t>
            </w:r>
          </w:p>
        </w:tc>
        <w:tc>
          <w:tcPr>
            <w:tcW w:w="729" w:type="dxa"/>
            <w:tcBorders>
              <w:top w:val="single" w:color="000000" w:sz="12" w:space="0"/>
            </w:tcBorders>
            <w:noWrap w:val="0"/>
            <w:vAlign w:val="top"/>
          </w:tcPr>
          <w:p>
            <w:pPr>
              <w:pStyle w:val="11"/>
              <w:rPr>
                <w:rFonts w:ascii="Times New Roman"/>
                <w:sz w:val="18"/>
              </w:rPr>
            </w:pPr>
          </w:p>
        </w:tc>
        <w:tc>
          <w:tcPr>
            <w:tcW w:w="711" w:type="dxa"/>
            <w:tcBorders>
              <w:top w:val="single" w:color="000000" w:sz="12" w:space="0"/>
            </w:tcBorders>
            <w:noWrap w:val="0"/>
            <w:vAlign w:val="top"/>
          </w:tcPr>
          <w:p>
            <w:pPr>
              <w:pStyle w:val="11"/>
              <w:rPr>
                <w:rFonts w:ascii="Times New Roman"/>
                <w:sz w:val="18"/>
              </w:rPr>
            </w:pPr>
          </w:p>
        </w:tc>
        <w:tc>
          <w:tcPr>
            <w:tcW w:w="695" w:type="dxa"/>
            <w:tcBorders>
              <w:top w:val="single" w:color="000000" w:sz="12" w:space="0"/>
            </w:tcBorders>
            <w:noWrap w:val="0"/>
            <w:vAlign w:val="top"/>
          </w:tcPr>
          <w:p>
            <w:pPr>
              <w:pStyle w:val="11"/>
              <w:rPr>
                <w:rFonts w:ascii="Times New Roman"/>
                <w:sz w:val="18"/>
              </w:rPr>
            </w:pPr>
          </w:p>
        </w:tc>
        <w:tc>
          <w:tcPr>
            <w:tcW w:w="709" w:type="dxa"/>
            <w:tcBorders>
              <w:top w:val="single" w:color="000000" w:sz="12" w:space="0"/>
            </w:tcBorders>
            <w:noWrap w:val="0"/>
            <w:vAlign w:val="top"/>
          </w:tcPr>
          <w:p>
            <w:pPr>
              <w:pStyle w:val="11"/>
              <w:rPr>
                <w:rFonts w:ascii="Times New Roman"/>
                <w:sz w:val="18"/>
              </w:rPr>
            </w:pPr>
          </w:p>
        </w:tc>
        <w:tc>
          <w:tcPr>
            <w:tcW w:w="679" w:type="dxa"/>
            <w:tcBorders>
              <w:top w:val="single" w:color="000000" w:sz="12" w:space="0"/>
            </w:tcBorders>
            <w:noWrap w:val="0"/>
            <w:vAlign w:val="top"/>
          </w:tcPr>
          <w:p>
            <w:pPr>
              <w:pStyle w:val="11"/>
              <w:rPr>
                <w:rFonts w:ascii="Times New Roman"/>
                <w:sz w:val="18"/>
              </w:rPr>
            </w:pPr>
          </w:p>
        </w:tc>
        <w:tc>
          <w:tcPr>
            <w:tcW w:w="1217" w:type="dxa"/>
            <w:tcBorders>
              <w:top w:val="single" w:color="000000" w:sz="12" w:space="0"/>
            </w:tcBorders>
            <w:noWrap w:val="0"/>
            <w:vAlign w:val="top"/>
          </w:tcPr>
          <w:p>
            <w:pPr>
              <w:pStyle w:val="11"/>
              <w:spacing w:before="21"/>
              <w:ind w:left="27"/>
              <w:jc w:val="center"/>
              <w:rPr>
                <w:sz w:val="20"/>
              </w:rPr>
            </w:pPr>
            <w:r>
              <w:rPr>
                <w:w w:val="99"/>
                <w:sz w:val="20"/>
              </w:rPr>
              <w:t>*</w:t>
            </w:r>
          </w:p>
        </w:tc>
        <w:tc>
          <w:tcPr>
            <w:tcW w:w="764" w:type="dxa"/>
            <w:tcBorders>
              <w:top w:val="single" w:color="000000" w:sz="12" w:space="0"/>
            </w:tcBorders>
            <w:noWrap w:val="0"/>
            <w:vAlign w:val="top"/>
          </w:tcPr>
          <w:p>
            <w:pPr>
              <w:pStyle w:val="11"/>
              <w:spacing w:before="21"/>
              <w:ind w:left="477"/>
              <w:rPr>
                <w:sz w:val="20"/>
              </w:rPr>
            </w:pPr>
            <w:r>
              <w:rPr>
                <w:w w:val="99"/>
                <w:sz w:val="20"/>
              </w:rPr>
              <w:t>*</w:t>
            </w:r>
          </w:p>
        </w:tc>
        <w:tc>
          <w:tcPr>
            <w:tcW w:w="707" w:type="dxa"/>
            <w:tcBorders>
              <w:top w:val="single" w:color="000000" w:sz="12" w:space="0"/>
            </w:tcBorders>
            <w:noWrap w:val="0"/>
            <w:vAlign w:val="top"/>
          </w:tcPr>
          <w:p>
            <w:pPr>
              <w:pStyle w:val="11"/>
              <w:rPr>
                <w:rFonts w:ascii="Times New Roman"/>
                <w:sz w:val="18"/>
              </w:rPr>
            </w:pPr>
          </w:p>
        </w:tc>
        <w:tc>
          <w:tcPr>
            <w:tcW w:w="691" w:type="dxa"/>
            <w:tcBorders>
              <w:top w:val="single" w:color="000000" w:sz="12" w:space="0"/>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3"/>
              <w:ind w:right="196"/>
              <w:jc w:val="right"/>
              <w:rPr>
                <w:sz w:val="20"/>
              </w:rPr>
            </w:pPr>
            <w:r>
              <w:rPr>
                <w:sz w:val="20"/>
              </w:rPr>
              <w:t>35</w:t>
            </w:r>
          </w:p>
        </w:tc>
        <w:tc>
          <w:tcPr>
            <w:tcW w:w="3621" w:type="dxa"/>
            <w:gridSpan w:val="3"/>
            <w:noWrap w:val="0"/>
            <w:vAlign w:val="top"/>
          </w:tcPr>
          <w:p>
            <w:pPr>
              <w:pStyle w:val="11"/>
              <w:spacing w:before="23"/>
              <w:ind w:left="315"/>
              <w:rPr>
                <w:sz w:val="20"/>
              </w:rPr>
            </w:pPr>
            <w:r>
              <w:rPr>
                <w:sz w:val="20"/>
              </w:rPr>
              <w:t>（二）租入固定资产的改建支出</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3"/>
              <w:ind w:left="27"/>
              <w:jc w:val="center"/>
              <w:rPr>
                <w:sz w:val="20"/>
              </w:rPr>
            </w:pPr>
            <w:r>
              <w:rPr>
                <w:w w:val="99"/>
                <w:sz w:val="20"/>
              </w:rPr>
              <w:t>*</w:t>
            </w:r>
          </w:p>
        </w:tc>
        <w:tc>
          <w:tcPr>
            <w:tcW w:w="764" w:type="dxa"/>
            <w:noWrap w:val="0"/>
            <w:vAlign w:val="top"/>
          </w:tcPr>
          <w:p>
            <w:pPr>
              <w:pStyle w:val="11"/>
              <w:spacing w:before="23"/>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470" w:type="dxa"/>
            <w:tcBorders>
              <w:left w:val="single" w:color="000000" w:sz="12" w:space="0"/>
            </w:tcBorders>
            <w:noWrap w:val="0"/>
            <w:vAlign w:val="top"/>
          </w:tcPr>
          <w:p>
            <w:pPr>
              <w:pStyle w:val="11"/>
              <w:spacing w:before="22"/>
              <w:ind w:right="196"/>
              <w:jc w:val="right"/>
              <w:rPr>
                <w:sz w:val="20"/>
              </w:rPr>
            </w:pPr>
            <w:r>
              <w:rPr>
                <w:sz w:val="20"/>
              </w:rPr>
              <w:t>36</w:t>
            </w:r>
          </w:p>
        </w:tc>
        <w:tc>
          <w:tcPr>
            <w:tcW w:w="3621" w:type="dxa"/>
            <w:gridSpan w:val="3"/>
            <w:noWrap w:val="0"/>
            <w:vAlign w:val="top"/>
          </w:tcPr>
          <w:p>
            <w:pPr>
              <w:pStyle w:val="11"/>
              <w:spacing w:before="22"/>
              <w:ind w:left="315"/>
              <w:rPr>
                <w:sz w:val="20"/>
              </w:rPr>
            </w:pPr>
            <w:r>
              <w:rPr>
                <w:sz w:val="20"/>
              </w:rPr>
              <w:t>（三）固定资产的大修理支出</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2"/>
              <w:ind w:left="27"/>
              <w:jc w:val="center"/>
              <w:rPr>
                <w:sz w:val="20"/>
              </w:rPr>
            </w:pPr>
            <w:r>
              <w:rPr>
                <w:w w:val="99"/>
                <w:sz w:val="20"/>
              </w:rPr>
              <w:t>*</w:t>
            </w:r>
          </w:p>
        </w:tc>
        <w:tc>
          <w:tcPr>
            <w:tcW w:w="764" w:type="dxa"/>
            <w:noWrap w:val="0"/>
            <w:vAlign w:val="top"/>
          </w:tcPr>
          <w:p>
            <w:pPr>
              <w:pStyle w:val="11"/>
              <w:spacing w:before="22"/>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jc w:val="center"/>
        </w:trPr>
        <w:tc>
          <w:tcPr>
            <w:tcW w:w="470" w:type="dxa"/>
            <w:tcBorders>
              <w:left w:val="single" w:color="000000" w:sz="12" w:space="0"/>
            </w:tcBorders>
            <w:noWrap w:val="0"/>
            <w:vAlign w:val="top"/>
          </w:tcPr>
          <w:p>
            <w:pPr>
              <w:pStyle w:val="11"/>
              <w:spacing w:before="22" w:line="256" w:lineRule="exact"/>
              <w:ind w:right="196"/>
              <w:jc w:val="right"/>
              <w:rPr>
                <w:sz w:val="20"/>
              </w:rPr>
            </w:pPr>
            <w:r>
              <w:rPr>
                <w:sz w:val="20"/>
              </w:rPr>
              <w:t>37</w:t>
            </w:r>
          </w:p>
        </w:tc>
        <w:tc>
          <w:tcPr>
            <w:tcW w:w="3621" w:type="dxa"/>
            <w:gridSpan w:val="3"/>
            <w:noWrap w:val="0"/>
            <w:vAlign w:val="top"/>
          </w:tcPr>
          <w:p>
            <w:pPr>
              <w:pStyle w:val="11"/>
              <w:spacing w:before="22" w:line="256" w:lineRule="exact"/>
              <w:ind w:left="315"/>
              <w:rPr>
                <w:sz w:val="20"/>
              </w:rPr>
            </w:pPr>
            <w:r>
              <w:rPr>
                <w:sz w:val="20"/>
              </w:rPr>
              <w:t>（四）开办费</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2" w:line="256" w:lineRule="exact"/>
              <w:ind w:left="27"/>
              <w:jc w:val="center"/>
              <w:rPr>
                <w:sz w:val="20"/>
              </w:rPr>
            </w:pPr>
            <w:r>
              <w:rPr>
                <w:w w:val="99"/>
                <w:sz w:val="20"/>
              </w:rPr>
              <w:t>*</w:t>
            </w:r>
          </w:p>
        </w:tc>
        <w:tc>
          <w:tcPr>
            <w:tcW w:w="764" w:type="dxa"/>
            <w:noWrap w:val="0"/>
            <w:vAlign w:val="top"/>
          </w:tcPr>
          <w:p>
            <w:pPr>
              <w:pStyle w:val="11"/>
              <w:spacing w:before="22" w:line="256" w:lineRule="exact"/>
              <w:ind w:left="477"/>
              <w:rPr>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jc w:val="center"/>
        </w:trPr>
        <w:tc>
          <w:tcPr>
            <w:tcW w:w="470" w:type="dxa"/>
            <w:tcBorders>
              <w:left w:val="single" w:color="000000" w:sz="12" w:space="0"/>
            </w:tcBorders>
            <w:noWrap w:val="0"/>
            <w:vAlign w:val="top"/>
          </w:tcPr>
          <w:p>
            <w:pPr>
              <w:pStyle w:val="11"/>
              <w:spacing w:before="22"/>
              <w:ind w:right="196" w:rightChars="0"/>
              <w:jc w:val="right"/>
              <w:rPr>
                <w:sz w:val="20"/>
              </w:rPr>
            </w:pPr>
            <w:r>
              <w:rPr>
                <w:sz w:val="20"/>
              </w:rPr>
              <w:t>38</w:t>
            </w:r>
          </w:p>
        </w:tc>
        <w:tc>
          <w:tcPr>
            <w:tcW w:w="3621" w:type="dxa"/>
            <w:gridSpan w:val="3"/>
            <w:noWrap w:val="0"/>
            <w:vAlign w:val="top"/>
          </w:tcPr>
          <w:p>
            <w:pPr>
              <w:pStyle w:val="11"/>
              <w:spacing w:before="22"/>
              <w:ind w:left="315" w:leftChars="0"/>
              <w:rPr>
                <w:sz w:val="20"/>
              </w:rPr>
            </w:pPr>
            <w:r>
              <w:rPr>
                <w:sz w:val="20"/>
              </w:rPr>
              <w:t>（五）其他</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2"/>
              <w:ind w:left="27" w:leftChars="0"/>
              <w:jc w:val="center"/>
              <w:rPr>
                <w:w w:val="99"/>
                <w:sz w:val="20"/>
              </w:rPr>
            </w:pPr>
            <w:r>
              <w:rPr>
                <w:w w:val="99"/>
                <w:sz w:val="20"/>
              </w:rPr>
              <w:t>*</w:t>
            </w:r>
          </w:p>
        </w:tc>
        <w:tc>
          <w:tcPr>
            <w:tcW w:w="764" w:type="dxa"/>
            <w:noWrap w:val="0"/>
            <w:vAlign w:val="top"/>
          </w:tcPr>
          <w:p>
            <w:pPr>
              <w:pStyle w:val="11"/>
              <w:spacing w:before="22"/>
              <w:ind w:left="477" w:leftChars="0"/>
              <w:rPr>
                <w:w w:val="99"/>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jc w:val="center"/>
        </w:trPr>
        <w:tc>
          <w:tcPr>
            <w:tcW w:w="470" w:type="dxa"/>
            <w:tcBorders>
              <w:left w:val="single" w:color="000000" w:sz="12" w:space="0"/>
            </w:tcBorders>
            <w:noWrap w:val="0"/>
            <w:vAlign w:val="top"/>
          </w:tcPr>
          <w:p>
            <w:pPr>
              <w:pStyle w:val="11"/>
              <w:spacing w:before="21"/>
              <w:ind w:right="196" w:rightChars="0"/>
              <w:jc w:val="right"/>
              <w:rPr>
                <w:sz w:val="20"/>
              </w:rPr>
            </w:pPr>
            <w:r>
              <w:rPr>
                <w:sz w:val="20"/>
              </w:rPr>
              <w:t>39</w:t>
            </w:r>
          </w:p>
        </w:tc>
        <w:tc>
          <w:tcPr>
            <w:tcW w:w="3621" w:type="dxa"/>
            <w:gridSpan w:val="3"/>
            <w:noWrap w:val="0"/>
            <w:vAlign w:val="top"/>
          </w:tcPr>
          <w:p>
            <w:pPr>
              <w:pStyle w:val="11"/>
              <w:spacing w:before="21"/>
              <w:ind w:left="113" w:leftChars="0"/>
              <w:rPr>
                <w:sz w:val="20"/>
              </w:rPr>
            </w:pPr>
            <w:r>
              <w:rPr>
                <w:sz w:val="20"/>
              </w:rPr>
              <w:t>五、油气勘探投资</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1"/>
              <w:ind w:left="27" w:leftChars="0"/>
              <w:jc w:val="center"/>
              <w:rPr>
                <w:w w:val="99"/>
                <w:sz w:val="20"/>
              </w:rPr>
            </w:pPr>
            <w:r>
              <w:rPr>
                <w:w w:val="99"/>
                <w:sz w:val="20"/>
              </w:rPr>
              <w:t>*</w:t>
            </w:r>
          </w:p>
        </w:tc>
        <w:tc>
          <w:tcPr>
            <w:tcW w:w="764" w:type="dxa"/>
            <w:noWrap w:val="0"/>
            <w:vAlign w:val="top"/>
          </w:tcPr>
          <w:p>
            <w:pPr>
              <w:pStyle w:val="11"/>
              <w:spacing w:before="21"/>
              <w:ind w:left="477" w:leftChars="0"/>
              <w:rPr>
                <w:w w:val="99"/>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jc w:val="center"/>
        </w:trPr>
        <w:tc>
          <w:tcPr>
            <w:tcW w:w="470" w:type="dxa"/>
            <w:tcBorders>
              <w:left w:val="single" w:color="000000" w:sz="12" w:space="0"/>
            </w:tcBorders>
            <w:noWrap w:val="0"/>
            <w:vAlign w:val="top"/>
          </w:tcPr>
          <w:p>
            <w:pPr>
              <w:pStyle w:val="11"/>
              <w:spacing w:before="22"/>
              <w:ind w:right="196" w:rightChars="0"/>
              <w:jc w:val="right"/>
              <w:rPr>
                <w:sz w:val="20"/>
              </w:rPr>
            </w:pPr>
            <w:r>
              <w:rPr>
                <w:sz w:val="20"/>
              </w:rPr>
              <w:t>40</w:t>
            </w:r>
          </w:p>
        </w:tc>
        <w:tc>
          <w:tcPr>
            <w:tcW w:w="3621" w:type="dxa"/>
            <w:gridSpan w:val="3"/>
            <w:noWrap w:val="0"/>
            <w:vAlign w:val="top"/>
          </w:tcPr>
          <w:p>
            <w:pPr>
              <w:pStyle w:val="11"/>
              <w:spacing w:before="22"/>
              <w:ind w:left="113" w:leftChars="0"/>
              <w:rPr>
                <w:sz w:val="20"/>
              </w:rPr>
            </w:pPr>
            <w:r>
              <w:rPr>
                <w:sz w:val="20"/>
              </w:rPr>
              <w:t>六、油气开发投资</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22"/>
              <w:ind w:left="27" w:leftChars="0"/>
              <w:jc w:val="center"/>
              <w:rPr>
                <w:w w:val="99"/>
                <w:sz w:val="20"/>
              </w:rPr>
            </w:pPr>
            <w:r>
              <w:rPr>
                <w:w w:val="99"/>
                <w:sz w:val="20"/>
              </w:rPr>
              <w:t>*</w:t>
            </w:r>
          </w:p>
        </w:tc>
        <w:tc>
          <w:tcPr>
            <w:tcW w:w="764" w:type="dxa"/>
            <w:noWrap w:val="0"/>
            <w:vAlign w:val="top"/>
          </w:tcPr>
          <w:p>
            <w:pPr>
              <w:pStyle w:val="11"/>
              <w:spacing w:before="22"/>
              <w:ind w:left="477" w:leftChars="0"/>
              <w:rPr>
                <w:w w:val="99"/>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jc w:val="center"/>
        </w:trPr>
        <w:tc>
          <w:tcPr>
            <w:tcW w:w="470" w:type="dxa"/>
            <w:tcBorders>
              <w:left w:val="single" w:color="000000" w:sz="12" w:space="0"/>
            </w:tcBorders>
            <w:noWrap w:val="0"/>
            <w:vAlign w:val="top"/>
          </w:tcPr>
          <w:p>
            <w:pPr>
              <w:pStyle w:val="11"/>
              <w:spacing w:before="22"/>
              <w:ind w:right="196" w:rightChars="0"/>
              <w:jc w:val="right"/>
              <w:rPr>
                <w:sz w:val="20"/>
              </w:rPr>
            </w:pPr>
            <w:r>
              <w:rPr>
                <w:sz w:val="20"/>
              </w:rPr>
              <w:t>41</w:t>
            </w:r>
          </w:p>
        </w:tc>
        <w:tc>
          <w:tcPr>
            <w:tcW w:w="3621" w:type="dxa"/>
            <w:gridSpan w:val="3"/>
            <w:noWrap w:val="0"/>
            <w:vAlign w:val="top"/>
          </w:tcPr>
          <w:p>
            <w:pPr>
              <w:pStyle w:val="11"/>
              <w:spacing w:before="22"/>
              <w:ind w:left="113" w:leftChars="0"/>
              <w:rPr>
                <w:sz w:val="20"/>
              </w:rPr>
            </w:pPr>
            <w:r>
              <w:rPr>
                <w:sz w:val="20"/>
              </w:rPr>
              <w:t>合计（1+18+21+33+39+40）</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rPr>
                <w:w w:val="99"/>
                <w:sz w:val="20"/>
              </w:rPr>
            </w:pPr>
          </w:p>
        </w:tc>
        <w:tc>
          <w:tcPr>
            <w:tcW w:w="764" w:type="dxa"/>
            <w:noWrap w:val="0"/>
            <w:vAlign w:val="top"/>
          </w:tcPr>
          <w:p>
            <w:pPr>
              <w:pStyle w:val="11"/>
              <w:rPr>
                <w:w w:val="99"/>
                <w:sz w:val="20"/>
              </w:rPr>
            </w:pP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jc w:val="center"/>
        </w:trPr>
        <w:tc>
          <w:tcPr>
            <w:tcW w:w="1551" w:type="dxa"/>
            <w:gridSpan w:val="2"/>
            <w:tcBorders>
              <w:left w:val="single" w:color="000000" w:sz="12" w:space="0"/>
            </w:tcBorders>
            <w:noWrap w:val="0"/>
            <w:vAlign w:val="top"/>
          </w:tcPr>
          <w:p>
            <w:pPr>
              <w:pStyle w:val="11"/>
              <w:spacing w:before="131"/>
              <w:ind w:left="655" w:leftChars="0"/>
              <w:rPr>
                <w:sz w:val="20"/>
              </w:rPr>
            </w:pPr>
            <w:r>
              <w:rPr>
                <w:sz w:val="20"/>
              </w:rPr>
              <w:t>附列资料</w:t>
            </w:r>
          </w:p>
        </w:tc>
        <w:tc>
          <w:tcPr>
            <w:tcW w:w="2540" w:type="dxa"/>
            <w:gridSpan w:val="2"/>
            <w:noWrap w:val="0"/>
            <w:vAlign w:val="top"/>
          </w:tcPr>
          <w:p>
            <w:pPr>
              <w:pStyle w:val="11"/>
              <w:spacing w:before="1"/>
              <w:ind w:left="115"/>
              <w:rPr>
                <w:sz w:val="20"/>
              </w:rPr>
            </w:pPr>
            <w:r>
              <w:rPr>
                <w:sz w:val="20"/>
              </w:rPr>
              <w:t>全民所有制企业公司制改制资产评估</w:t>
            </w:r>
          </w:p>
          <w:p>
            <w:pPr>
              <w:pStyle w:val="11"/>
              <w:spacing w:before="3" w:line="238" w:lineRule="exact"/>
              <w:ind w:left="115" w:leftChars="0"/>
              <w:rPr>
                <w:sz w:val="20"/>
              </w:rPr>
            </w:pPr>
            <w:r>
              <w:rPr>
                <w:sz w:val="20"/>
              </w:rPr>
              <w:t>增值政策资产</w:t>
            </w:r>
          </w:p>
        </w:tc>
        <w:tc>
          <w:tcPr>
            <w:tcW w:w="729" w:type="dxa"/>
            <w:noWrap w:val="0"/>
            <w:vAlign w:val="top"/>
          </w:tcPr>
          <w:p>
            <w:pPr>
              <w:pStyle w:val="11"/>
              <w:rPr>
                <w:rFonts w:ascii="Times New Roman"/>
                <w:sz w:val="18"/>
              </w:rPr>
            </w:pPr>
          </w:p>
        </w:tc>
        <w:tc>
          <w:tcPr>
            <w:tcW w:w="711" w:type="dxa"/>
            <w:noWrap w:val="0"/>
            <w:vAlign w:val="top"/>
          </w:tcPr>
          <w:p>
            <w:pPr>
              <w:pStyle w:val="11"/>
              <w:rPr>
                <w:rFonts w:ascii="Times New Roman"/>
                <w:sz w:val="18"/>
              </w:rPr>
            </w:pPr>
          </w:p>
        </w:tc>
        <w:tc>
          <w:tcPr>
            <w:tcW w:w="695" w:type="dxa"/>
            <w:noWrap w:val="0"/>
            <w:vAlign w:val="top"/>
          </w:tcPr>
          <w:p>
            <w:pPr>
              <w:pStyle w:val="11"/>
              <w:rPr>
                <w:rFonts w:ascii="Times New Roman"/>
                <w:sz w:val="18"/>
              </w:rPr>
            </w:pPr>
          </w:p>
        </w:tc>
        <w:tc>
          <w:tcPr>
            <w:tcW w:w="709" w:type="dxa"/>
            <w:noWrap w:val="0"/>
            <w:vAlign w:val="top"/>
          </w:tcPr>
          <w:p>
            <w:pPr>
              <w:pStyle w:val="11"/>
              <w:rPr>
                <w:rFonts w:ascii="Times New Roman"/>
                <w:sz w:val="18"/>
              </w:rPr>
            </w:pPr>
          </w:p>
        </w:tc>
        <w:tc>
          <w:tcPr>
            <w:tcW w:w="679" w:type="dxa"/>
            <w:noWrap w:val="0"/>
            <w:vAlign w:val="top"/>
          </w:tcPr>
          <w:p>
            <w:pPr>
              <w:pStyle w:val="11"/>
              <w:rPr>
                <w:rFonts w:ascii="Times New Roman"/>
                <w:sz w:val="18"/>
              </w:rPr>
            </w:pPr>
          </w:p>
        </w:tc>
        <w:tc>
          <w:tcPr>
            <w:tcW w:w="1217" w:type="dxa"/>
            <w:noWrap w:val="0"/>
            <w:vAlign w:val="top"/>
          </w:tcPr>
          <w:p>
            <w:pPr>
              <w:pStyle w:val="11"/>
              <w:spacing w:before="131"/>
              <w:ind w:left="27" w:leftChars="0"/>
              <w:jc w:val="center"/>
              <w:rPr>
                <w:w w:val="99"/>
                <w:sz w:val="20"/>
              </w:rPr>
            </w:pPr>
            <w:r>
              <w:rPr>
                <w:w w:val="99"/>
                <w:sz w:val="20"/>
              </w:rPr>
              <w:t>*</w:t>
            </w:r>
          </w:p>
        </w:tc>
        <w:tc>
          <w:tcPr>
            <w:tcW w:w="764" w:type="dxa"/>
            <w:noWrap w:val="0"/>
            <w:vAlign w:val="top"/>
          </w:tcPr>
          <w:p>
            <w:pPr>
              <w:pStyle w:val="11"/>
              <w:spacing w:before="131"/>
              <w:ind w:left="477" w:leftChars="0"/>
              <w:rPr>
                <w:w w:val="99"/>
                <w:sz w:val="20"/>
              </w:rPr>
            </w:pPr>
            <w:r>
              <w:rPr>
                <w:w w:val="99"/>
                <w:sz w:val="20"/>
              </w:rPr>
              <w:t>*</w:t>
            </w:r>
          </w:p>
        </w:tc>
        <w:tc>
          <w:tcPr>
            <w:tcW w:w="707" w:type="dxa"/>
            <w:noWrap w:val="0"/>
            <w:vAlign w:val="top"/>
          </w:tcPr>
          <w:p>
            <w:pPr>
              <w:pStyle w:val="11"/>
              <w:rPr>
                <w:rFonts w:ascii="Times New Roman"/>
                <w:sz w:val="18"/>
              </w:rPr>
            </w:pPr>
          </w:p>
        </w:tc>
        <w:tc>
          <w:tcPr>
            <w:tcW w:w="691" w:type="dxa"/>
            <w:tcBorders>
              <w:right w:val="single" w:color="000000" w:sz="12" w:space="0"/>
            </w:tcBorders>
            <w:noWrap w:val="0"/>
            <w:vAlign w:val="top"/>
          </w:tcPr>
          <w:p>
            <w:pPr>
              <w:pStyle w:val="11"/>
              <w:rPr>
                <w:rFonts w:ascii="Times New Roman"/>
                <w:sz w:val="18"/>
              </w:rPr>
            </w:pPr>
          </w:p>
        </w:tc>
      </w:tr>
    </w:tbl>
    <w:p>
      <w:pPr>
        <w:keepNext w:val="0"/>
        <w:keepLines w:val="0"/>
        <w:pageBreakBefore w:val="0"/>
        <w:widowControl w:val="0"/>
        <w:kinsoku/>
        <w:wordWrap/>
        <w:overflowPunct/>
        <w:topLinePunct w:val="0"/>
        <w:autoSpaceDE/>
        <w:autoSpaceDN/>
        <w:bidi w:val="0"/>
        <w:adjustRightInd/>
        <w:snapToGrid/>
        <w:jc w:val="both"/>
        <w:textAlignment w:val="auto"/>
        <w:rPr>
          <w:rFonts w:hint="eastAsia" w:ascii="微软雅黑" w:hAnsi="微软雅黑" w:eastAsia="微软雅黑" w:cs="微软雅黑"/>
          <w:b/>
          <w:bCs/>
          <w:sz w:val="36"/>
          <w:szCs w:val="36"/>
          <w:lang w:eastAsia="zh-CN"/>
        </w:rPr>
      </w:pPr>
    </w:p>
    <w:p>
      <w:pPr>
        <w:pStyle w:val="4"/>
        <w:bidi w:val="0"/>
        <w:rPr>
          <w:rFonts w:hint="eastAsia"/>
          <w:lang w:eastAsia="zh-CN"/>
        </w:rPr>
      </w:pPr>
      <w:r>
        <w:rPr>
          <w:rFonts w:hint="eastAsia"/>
          <w:lang w:eastAsia="zh-CN"/>
        </w:rPr>
        <w:t>A105080 《资产折旧、摊销及纳税调整明细表》填报说明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本表适用于发生资产折旧、摊销的纳税人填报。纳税人根据税法、《国家税务总局关于企业固定资产加速折旧所得税处理有关问题的通知》（国税发〔2009〕81 号）、《国家税务总局关于融资性售后回租业务中承租方出售资产行为有关税收问题的公告》（2010 年第 13 号）、《国家税务总局关于企业所得税若干问题的公告》（2011 年第 34 号）、《国家税务总局关于发布〈企业所得税政策性搬迁所得税管理办法〉的公告》（2012 年第 40 号）、《财政部 国家税务总局关于进一步鼓励软件产业和集成电路产业发展企业所得税政策的通知》（财税〔2012〕27 号）、《国家税务总局关于企业所得税应纳税所得额若干问题的公告》（2014 年第 29 号）、《财政部 国家税务总局关于完善固定资产加速折旧税收政策有关问题的通知》（财税〔2014〕75 号）、《财政部 国家税务总局关于进一步完善固定资产加速折旧企业所得税政策的通知》（财税〔2015〕106 号）、《国家税务总局关于全民所有制企业公司制改制企业所得税处理问题的公告》（2017 年第 34 号）、《财政部 税务总局关于设备器具扣除有关企业所得税政策的通知》（财税〔2018〕54 号）、《国家税务总局关于设备器具扣除有关企业所得税政策执行问题的公告》（2018 年第 46 号）、《财政部 税务总局关于扩大固定资产加速折旧优惠政策适用范围的公告》（2019 年第 66 号）、《财政部 税务总局关于支持新型冠状病毒感染的肺炎疫情防控有关税收政策的公告》（2020 年第 8 号）、《财政部 税务总局关于海南自由贸易港企业所得税优惠政策的通知》（财税〔2020〕31 号）等相关规定，以及国家统一企业会计制度，填报资产折旧、摊销的会计处理、税收规定，以及纳税调整情况。纳税人只要发生相关事项，均需填报本表。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对于不征税收入形成的资产，其折旧、摊销额不得税前扣除。第 4 列至第 8 列税收金额不包含不征税收入所形成资产的折旧、摊销额。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列“资产原值”：填报纳税人会计处理计提折旧、摊销的资产原值（或历史成本）的金额。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列“本年折旧、摊销额”：填报纳税人会计核算的本年资产折旧、摊销额。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列“累计折旧、摊销额”：填报纳税人会计核算的累计（含本年）资产折旧、摊销额。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列“资产计税基础”：填报纳税人按照税收规定据以计算折旧、摊销的资产原值（或历史成本）的金额。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列“税收折旧、摊销额”：填报纳税人按照税收规定计算的允许税前扣除的本年资产折旧、摊销额。第 8 行至第 17 行、第 30 行至第 32 行第 5 列“税收折旧、摊销额”：填报享受相关加速折旧、摊销优惠政策的资产，采取税收加速折旧、摊销或一次性扣除方式计算的税收折旧额合计金额、摊销额合计金额。本列仅填报“税收折旧、摊销额”大于“享受加速折旧政策的资产按税收一般规定计算的折旧、摊销额”月份的金额合计。如， 享受加速折旧、摊销优惠政策的资产，发生本年度某些月份其“税收折旧、摊销额” 大于“享受加速折旧政策的资产按税收一般规定计算的折旧、摊销额”，其余月份其“税收折旧、摊销额”小于“享受加速折旧政策的资产按税收一般规定计算的折旧、摊销额”的情形，仅填报“税收折旧、摊销额”大于“享受加速折旧政策的资产按税收一般规定计算的折旧、摊销额”月份的税收折旧额合计金额、摊销额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列“享受加速折旧政策的资产按税收一般规定计算的折旧、摊销额”：仅适用于第 8 行至第 17 行、第 30 行至第 32 行，填报纳税人享受加速折旧、摊销优惠政策的资产，按照税收一般规定计算的折旧额合计金额、摊销额合计金额。按照税收一般规定计算的折旧、摊销额，是指该资产在不享受加速折旧、摊销优惠政策情况下， 按照税收规定的最低折旧年限以直线法计算的折旧额、摊销额。本列仅填报“税收折旧、摊销额”大于“享受加速折旧政策的资产按税收一般规定计算的折旧、摊销额” 月份的按税收一般规定计算的折旧额合计金额、摊销额合计金额。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列“加速折旧、摊销统计额”：用于统计纳税人享受各类固定资产加速折旧政策的优惠金额，按第 5-6 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列“累计折旧、摊销额”：填报纳税人按照税收规定计算的累计（含本年） 资产折旧、摊销额。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列“纳税调整金额”：填报第 2-5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2 行至第 7 行、第 19 行至第 20 行、第 22 行至第 29 行、第 34 行至第 40 行： 填报各类资产有关情况。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8 行至第 17 行、第 30 行至第 32 行：填报纳税人享受相关加速折旧、摊销优惠政策的资产有关情况及优惠统计情况。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8 行“（一）重要行业固定资产加速折旧”：适用于符合财税〔2014〕75 号、财税〔2015〕106 号和财政部、税务总局公告 2019 年第 66 号文件规定的制造业，信息传输、软件和信息技术服务业行业（以下称“重要行业”）的企业填报，填报新购进固定资产享受加速折旧政策的有关情况及优惠统计情况。重要行业纳税人按照上述文件规定享受固定资产一次性扣除政策的资产情况在第 11 行“（四）500 万元以下设备器具一次性扣除”中填报。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9 行“（二）其他行业研发设备加速折旧”：适用于重要行业以外的其他企业填报，填报单位价值超过 100 万元以上专用研发设备采取缩短折旧年限或加速折旧方法的有关情况及优惠统计情况。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10 行“（三）海南自由贸易港企业固定资产加速折旧”，适用于在海南自由贸易港设立的企业填报，填报新购置（含自建）500 万元以上的固定资产，按照税收规定采取缩短折旧年限或加速折旧方法的有关情况及优惠统计情况。若固定资产同时符合重要行业加速折旧政策条件，纳税人自行选择在本表第 8 行或本行填报，但不得重复填报。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11 行“（四）500 万元以下设备器具一次性扣除”：填报新购进单位价值不超过 500 万元的设备、器具等，按照税收规定一次性扣除的有关情况及优惠统计情况。对疫情防控重点保障物资生产企业,其为扩大产能新购置的相关设备价值不超过500 万元的，其按照税收规定一次性扣除的有关情况及优惠统计情况在本行填列。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12 行“（五）疫情防控重点保障物资生产企业单价 500 万元以上设备一次性扣除”，填报疫情防控重点保障物资生产企业单价 500 万元以上设备，按照税收规定一次性扣除的有关情况及优惠统计情况。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13 行“（六）海南自由贸易港企业固定资产一次性扣除”：填报海南自由贸易港企业新购置（含自建）固定资产，按照税收规定采取一次性摊销方法的有关情况及优惠统计情况。若固定资产同时符合“500 万元以下设备器具一次性扣除”政策的，由纳税人自行选择在第 11 行或本行填报，但不得重复填报。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14 行“（七）技术进步、更新换代固定资产加速折旧”：填报固定资产因技术进步、产品更新换代较快而按税收规定享受固定资产加速折旧政策的有关情况及优惠统计情况。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15 行“（八）常年强震动、高腐蚀固定资产加速折旧”：填报常年处于强震动、高腐蚀状态的固定资产按税收规定享受固定资产加速折旧政策的有关情况及优惠统计情况。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16 行“（九）外购软件加速折旧”：填报企业外购软件作为固定资产处理，按财税〔2012〕27 号文件规定享受加速折旧政策的有关情况及优惠统计情况。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17 行“（十）集成电路企业生产设备加速折旧”：填报集成电路生产企业的生产设备，按照财税〔2012〕27 号文件规定享受加速折旧政策的有关情况及优惠统计情况。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30 行“（一）企业外购软件加速摊销”：填报企业外购软件作无形资产处理， 按财税〔2012〕27 号文件规定享受加速摊销政策的有关情况及优惠统计情况。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31 行“（二）海南自由贸易港企业无形资产加速摊销”：填报海南自由贸易港企业新购置（含自行开发）无形资产，按照税收规定采取缩短摊销年限或加速摊销方法的有关情况及优惠统计情况。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32 行“（三）海南自由贸易港企业无形资产一次性摊销”： 填报海南自由贸易港企业新购置（含自行开发）无形资产，按照税收规定采取一次性摊销方法的有关情况及优惠统计情况。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3、附列资料“全民所有制企业公司制改制资产评估增值政策资产”：填报企业按照国家税务总局公告 2017 年第 34 号规定，执行“改制中资产评估增值不计入应纳税所得额，资产的计税基础按其原有计税基础确定，资产增值部分的折旧或者摊销不得在税前扣除”政策的有关情况。本行不参与计算，仅用于统计享受全民所有制企业公司制改制资产评估增值政策资产的有关情况，相关资产折旧、摊销情况及调整情况在第 1 行至第 40 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行＝第 2+3+…+7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18 行＝第 19+20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21 行＝第 22+23…+29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33 行＝第 34+35+36+37+38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 第 41 行 ＝ 第 1+18+21+33+39+40 行 。 （ 其 中 第 41 行 第 6 列 ＝ 第</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8+9+10+11+12+13+14+15+16+17+30+31+32 行 第 6 列 ； 第 41 行 第 7  列 ＝ 第</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8+9+10+11+12+13+14+15+16+17+30+31+32 行第 7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7 列＝第 5-6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9 列＝第 2-5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41 行第 2 列＝表 A105000 第 32 行第 1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41 行第 5 列＝表 A105000 第 32 行第 2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3、若第 41 行第 9 列≥0，第 41 行第 9 列＝表 A105000 第 32 行第 3 列；若第 40 行第 9 列＜0，第 41 行第 9 列的绝对值＝表 A105000 第 32 行第 4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A105090</w:t>
      </w:r>
      <w:r>
        <w:rPr>
          <w:rFonts w:hint="eastAsia"/>
          <w:lang w:eastAsia="zh-CN"/>
        </w:rPr>
        <w:tab/>
      </w:r>
      <w:r>
        <w:rPr>
          <w:rFonts w:hint="eastAsia"/>
          <w:lang w:eastAsia="zh-CN"/>
        </w:rPr>
        <w:t>资产损失税前扣除及纳税调整明细表</w:t>
      </w:r>
    </w:p>
    <w:tbl>
      <w:tblPr>
        <w:tblStyle w:val="8"/>
        <w:tblW w:w="11259"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04"/>
        <w:gridCol w:w="4734"/>
        <w:gridCol w:w="854"/>
        <w:gridCol w:w="854"/>
        <w:gridCol w:w="854"/>
        <w:gridCol w:w="854"/>
        <w:gridCol w:w="854"/>
        <w:gridCol w:w="854"/>
        <w:gridCol w:w="897"/>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08" w:hRule="atLeast"/>
          <w:jc w:val="center"/>
        </w:trPr>
        <w:tc>
          <w:tcPr>
            <w:tcW w:w="504" w:type="dxa"/>
            <w:vMerge w:val="restart"/>
            <w:tcBorders>
              <w:bottom w:val="single" w:color="000000" w:sz="6" w:space="0"/>
              <w:right w:val="single" w:color="000000" w:sz="6" w:space="0"/>
            </w:tcBorders>
            <w:noWrap w:val="0"/>
            <w:vAlign w:val="top"/>
          </w:tcPr>
          <w:p>
            <w:pPr>
              <w:pStyle w:val="11"/>
              <w:rPr>
                <w:b/>
                <w:sz w:val="20"/>
              </w:rPr>
            </w:pPr>
          </w:p>
          <w:p>
            <w:pPr>
              <w:pStyle w:val="11"/>
              <w:rPr>
                <w:b/>
                <w:sz w:val="18"/>
              </w:rPr>
            </w:pPr>
          </w:p>
          <w:p>
            <w:pPr>
              <w:pStyle w:val="11"/>
              <w:ind w:left="139"/>
              <w:rPr>
                <w:sz w:val="20"/>
              </w:rPr>
            </w:pPr>
            <w:r>
              <w:rPr>
                <w:sz w:val="20"/>
              </w:rPr>
              <w:t>行次</w:t>
            </w:r>
          </w:p>
        </w:tc>
        <w:tc>
          <w:tcPr>
            <w:tcW w:w="4734" w:type="dxa"/>
            <w:vMerge w:val="restart"/>
            <w:tcBorders>
              <w:left w:val="single" w:color="000000" w:sz="6" w:space="0"/>
              <w:bottom w:val="single" w:color="000000" w:sz="6" w:space="0"/>
              <w:right w:val="single" w:color="000000" w:sz="6" w:space="0"/>
            </w:tcBorders>
            <w:noWrap w:val="0"/>
            <w:vAlign w:val="top"/>
          </w:tcPr>
          <w:p>
            <w:pPr>
              <w:pStyle w:val="11"/>
              <w:rPr>
                <w:b/>
                <w:sz w:val="20"/>
              </w:rPr>
            </w:pPr>
          </w:p>
          <w:p>
            <w:pPr>
              <w:pStyle w:val="11"/>
              <w:rPr>
                <w:b/>
                <w:sz w:val="18"/>
              </w:rPr>
            </w:pPr>
          </w:p>
          <w:p>
            <w:pPr>
              <w:pStyle w:val="11"/>
              <w:ind w:left="892" w:right="865"/>
              <w:jc w:val="center"/>
              <w:rPr>
                <w:sz w:val="20"/>
              </w:rPr>
            </w:pPr>
            <w:r>
              <w:rPr>
                <w:sz w:val="20"/>
              </w:rPr>
              <w:t>项目</w:t>
            </w:r>
          </w:p>
        </w:tc>
        <w:tc>
          <w:tcPr>
            <w:tcW w:w="854" w:type="dxa"/>
            <w:tcBorders>
              <w:left w:val="single" w:color="000000" w:sz="6" w:space="0"/>
              <w:bottom w:val="single" w:color="000000" w:sz="6" w:space="0"/>
              <w:right w:val="single" w:color="000000" w:sz="6" w:space="0"/>
            </w:tcBorders>
            <w:noWrap w:val="0"/>
            <w:vAlign w:val="top"/>
          </w:tcPr>
          <w:p>
            <w:pPr>
              <w:pStyle w:val="11"/>
              <w:spacing w:before="13" w:line="260" w:lineRule="atLeast"/>
              <w:ind w:left="84" w:right="55"/>
              <w:jc w:val="both"/>
              <w:rPr>
                <w:sz w:val="20"/>
              </w:rPr>
            </w:pPr>
            <w:r>
              <w:rPr>
                <w:sz w:val="20"/>
              </w:rPr>
              <w:t>资产损失直接计入本年损益金额</w:t>
            </w:r>
          </w:p>
        </w:tc>
        <w:tc>
          <w:tcPr>
            <w:tcW w:w="854" w:type="dxa"/>
            <w:tcBorders>
              <w:left w:val="single" w:color="000000" w:sz="6" w:space="0"/>
              <w:bottom w:val="single" w:color="000000" w:sz="6" w:space="0"/>
              <w:right w:val="single" w:color="000000" w:sz="6" w:space="0"/>
            </w:tcBorders>
            <w:noWrap w:val="0"/>
            <w:vAlign w:val="top"/>
          </w:tcPr>
          <w:p>
            <w:pPr>
              <w:pStyle w:val="11"/>
              <w:spacing w:before="13" w:line="260" w:lineRule="atLeast"/>
              <w:ind w:left="83" w:right="56"/>
              <w:jc w:val="center"/>
              <w:rPr>
                <w:sz w:val="20"/>
              </w:rPr>
            </w:pPr>
            <w:r>
              <w:rPr>
                <w:sz w:val="20"/>
              </w:rPr>
              <w:t>资产损失准备金核销金额</w:t>
            </w:r>
          </w:p>
        </w:tc>
        <w:tc>
          <w:tcPr>
            <w:tcW w:w="854" w:type="dxa"/>
            <w:tcBorders>
              <w:left w:val="single" w:color="000000" w:sz="6" w:space="0"/>
              <w:bottom w:val="single" w:color="000000" w:sz="6" w:space="0"/>
              <w:right w:val="single" w:color="000000" w:sz="6" w:space="0"/>
            </w:tcBorders>
            <w:noWrap w:val="0"/>
            <w:vAlign w:val="top"/>
          </w:tcPr>
          <w:p>
            <w:pPr>
              <w:pStyle w:val="11"/>
              <w:spacing w:before="146" w:line="242" w:lineRule="auto"/>
              <w:ind w:left="383" w:right="155" w:hanging="200"/>
              <w:rPr>
                <w:sz w:val="20"/>
              </w:rPr>
            </w:pPr>
            <w:r>
              <w:rPr>
                <w:sz w:val="20"/>
              </w:rPr>
              <w:t>资产处置收入</w:t>
            </w:r>
          </w:p>
        </w:tc>
        <w:tc>
          <w:tcPr>
            <w:tcW w:w="854" w:type="dxa"/>
            <w:tcBorders>
              <w:left w:val="single" w:color="000000" w:sz="6" w:space="0"/>
              <w:bottom w:val="single" w:color="000000" w:sz="6" w:space="0"/>
              <w:right w:val="single" w:color="000000" w:sz="6" w:space="0"/>
            </w:tcBorders>
            <w:noWrap w:val="0"/>
            <w:vAlign w:val="top"/>
          </w:tcPr>
          <w:p>
            <w:pPr>
              <w:pStyle w:val="11"/>
              <w:spacing w:before="6"/>
              <w:rPr>
                <w:b/>
                <w:sz w:val="21"/>
              </w:rPr>
            </w:pPr>
          </w:p>
          <w:p>
            <w:pPr>
              <w:pStyle w:val="11"/>
              <w:ind w:left="81" w:right="56"/>
              <w:jc w:val="center"/>
              <w:rPr>
                <w:sz w:val="20"/>
              </w:rPr>
            </w:pPr>
            <w:r>
              <w:rPr>
                <w:sz w:val="20"/>
              </w:rPr>
              <w:t>赔偿收入</w:t>
            </w:r>
          </w:p>
        </w:tc>
        <w:tc>
          <w:tcPr>
            <w:tcW w:w="854" w:type="dxa"/>
            <w:tcBorders>
              <w:left w:val="single" w:color="000000" w:sz="6" w:space="0"/>
              <w:bottom w:val="single" w:color="000000" w:sz="6" w:space="0"/>
              <w:right w:val="single" w:color="000000" w:sz="6" w:space="0"/>
            </w:tcBorders>
            <w:noWrap w:val="0"/>
            <w:vAlign w:val="top"/>
          </w:tcPr>
          <w:p>
            <w:pPr>
              <w:pStyle w:val="11"/>
              <w:spacing w:before="146" w:line="242" w:lineRule="auto"/>
              <w:ind w:left="384" w:right="156" w:hanging="202"/>
              <w:rPr>
                <w:sz w:val="20"/>
              </w:rPr>
            </w:pPr>
            <w:r>
              <w:rPr>
                <w:sz w:val="20"/>
              </w:rPr>
              <w:t>资产计税基础</w:t>
            </w:r>
          </w:p>
        </w:tc>
        <w:tc>
          <w:tcPr>
            <w:tcW w:w="854" w:type="dxa"/>
            <w:tcBorders>
              <w:left w:val="single" w:color="000000" w:sz="6" w:space="0"/>
              <w:bottom w:val="single" w:color="000000" w:sz="6" w:space="0"/>
              <w:right w:val="single" w:color="000000" w:sz="6" w:space="0"/>
            </w:tcBorders>
            <w:noWrap w:val="0"/>
            <w:vAlign w:val="top"/>
          </w:tcPr>
          <w:p>
            <w:pPr>
              <w:pStyle w:val="11"/>
              <w:spacing w:before="146" w:line="242" w:lineRule="auto"/>
              <w:ind w:left="184" w:right="56" w:hanging="101"/>
              <w:rPr>
                <w:sz w:val="20"/>
              </w:rPr>
            </w:pPr>
            <w:r>
              <w:rPr>
                <w:sz w:val="20"/>
              </w:rPr>
              <w:t>资产损失的税收金额</w:t>
            </w:r>
          </w:p>
        </w:tc>
        <w:tc>
          <w:tcPr>
            <w:tcW w:w="897" w:type="dxa"/>
            <w:tcBorders>
              <w:left w:val="single" w:color="000000" w:sz="6" w:space="0"/>
              <w:bottom w:val="single" w:color="000000" w:sz="6" w:space="0"/>
            </w:tcBorders>
            <w:noWrap w:val="0"/>
            <w:vAlign w:val="top"/>
          </w:tcPr>
          <w:p>
            <w:pPr>
              <w:pStyle w:val="11"/>
              <w:spacing w:before="146" w:line="242" w:lineRule="auto"/>
              <w:ind w:left="411" w:right="176" w:hanging="200"/>
              <w:rPr>
                <w:sz w:val="20"/>
              </w:rPr>
            </w:pPr>
            <w:r>
              <w:rPr>
                <w:sz w:val="20"/>
              </w:rPr>
              <w:t>纳税调整金额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7" w:hRule="atLeast"/>
          <w:jc w:val="center"/>
        </w:trPr>
        <w:tc>
          <w:tcPr>
            <w:tcW w:w="504" w:type="dxa"/>
            <w:vMerge w:val="continue"/>
            <w:tcBorders>
              <w:top w:val="nil"/>
              <w:bottom w:val="single" w:color="000000" w:sz="6" w:space="0"/>
              <w:right w:val="single" w:color="000000" w:sz="6" w:space="0"/>
            </w:tcBorders>
            <w:noWrap w:val="0"/>
            <w:vAlign w:val="top"/>
          </w:tcPr>
          <w:p>
            <w:pPr>
              <w:rPr>
                <w:sz w:val="2"/>
                <w:szCs w:val="2"/>
              </w:rPr>
            </w:pPr>
          </w:p>
        </w:tc>
        <w:tc>
          <w:tcPr>
            <w:tcW w:w="4734"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4"/>
              <w:ind w:left="25"/>
              <w:jc w:val="center"/>
              <w:rPr>
                <w:sz w:val="20"/>
              </w:rPr>
            </w:pPr>
            <w:r>
              <w:rPr>
                <w:w w:val="99"/>
                <w:sz w:val="20"/>
              </w:rPr>
              <w:t>1</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4"/>
              <w:ind w:left="29"/>
              <w:jc w:val="center"/>
              <w:rPr>
                <w:sz w:val="20"/>
              </w:rPr>
            </w:pPr>
            <w:r>
              <w:rPr>
                <w:w w:val="99"/>
                <w:sz w:val="20"/>
              </w:rPr>
              <w:t>2</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4"/>
              <w:ind w:left="28"/>
              <w:jc w:val="center"/>
              <w:rPr>
                <w:sz w:val="20"/>
              </w:rPr>
            </w:pPr>
            <w:r>
              <w:rPr>
                <w:w w:val="99"/>
                <w:sz w:val="20"/>
              </w:rPr>
              <w:t>3</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4"/>
              <w:ind w:left="26"/>
              <w:jc w:val="center"/>
              <w:rPr>
                <w:sz w:val="20"/>
              </w:rPr>
            </w:pPr>
            <w:r>
              <w:rPr>
                <w:w w:val="99"/>
                <w:sz w:val="20"/>
              </w:rPr>
              <w:t>4</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4"/>
              <w:ind w:left="25"/>
              <w:jc w:val="center"/>
              <w:rPr>
                <w:sz w:val="20"/>
              </w:rPr>
            </w:pPr>
            <w:r>
              <w:rPr>
                <w:w w:val="99"/>
                <w:sz w:val="20"/>
              </w:rPr>
              <w:t>5</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4"/>
              <w:ind w:left="83"/>
              <w:rPr>
                <w:sz w:val="20"/>
              </w:rPr>
            </w:pPr>
            <w:r>
              <w:rPr>
                <w:sz w:val="20"/>
              </w:rPr>
              <w:t>6（5-3-4）</w:t>
            </w:r>
          </w:p>
        </w:tc>
        <w:tc>
          <w:tcPr>
            <w:tcW w:w="897" w:type="dxa"/>
            <w:tcBorders>
              <w:top w:val="single" w:color="000000" w:sz="6" w:space="0"/>
              <w:left w:val="single" w:color="000000" w:sz="6" w:space="0"/>
              <w:bottom w:val="single" w:color="000000" w:sz="6" w:space="0"/>
            </w:tcBorders>
            <w:noWrap w:val="0"/>
            <w:vAlign w:val="top"/>
          </w:tcPr>
          <w:p>
            <w:pPr>
              <w:pStyle w:val="11"/>
              <w:spacing w:before="74"/>
              <w:ind w:left="35"/>
              <w:jc w:val="center"/>
              <w:rPr>
                <w:sz w:val="20"/>
              </w:rPr>
            </w:pPr>
            <w:r>
              <w:rPr>
                <w:w w:val="99"/>
                <w:sz w:val="20"/>
              </w:rPr>
              <w:t>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1"/>
              <w:ind w:right="268"/>
              <w:jc w:val="right"/>
              <w:rPr>
                <w:sz w:val="20"/>
              </w:rPr>
            </w:pPr>
            <w:r>
              <w:rPr>
                <w:w w:val="99"/>
                <w:sz w:val="20"/>
              </w:rPr>
              <w:t>1</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1"/>
              <w:ind w:left="22"/>
              <w:rPr>
                <w:sz w:val="20"/>
              </w:rPr>
            </w:pPr>
            <w:r>
              <w:rPr>
                <w:sz w:val="20"/>
              </w:rPr>
              <w:t>一、现金及银行存款损失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1"/>
              <w:ind w:left="29"/>
              <w:jc w:val="center"/>
              <w:rPr>
                <w:sz w:val="20"/>
              </w:rPr>
            </w:pPr>
            <w:r>
              <w:rPr>
                <w:w w:val="99"/>
                <w:sz w:val="20"/>
              </w:rPr>
              <w:t>*</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6"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3"/>
              <w:ind w:right="268"/>
              <w:jc w:val="right"/>
              <w:rPr>
                <w:sz w:val="20"/>
              </w:rPr>
            </w:pPr>
            <w:r>
              <w:rPr>
                <w:w w:val="99"/>
                <w:sz w:val="20"/>
              </w:rPr>
              <w:t>2</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3"/>
              <w:ind w:left="22"/>
              <w:rPr>
                <w:sz w:val="20"/>
              </w:rPr>
            </w:pPr>
            <w:r>
              <w:rPr>
                <w:sz w:val="20"/>
              </w:rPr>
              <w:t>二、应收及预付款项坏账损失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104"/>
              <w:ind w:right="268"/>
              <w:jc w:val="right"/>
              <w:rPr>
                <w:sz w:val="20"/>
              </w:rPr>
            </w:pPr>
            <w:r>
              <w:rPr>
                <w:w w:val="99"/>
                <w:sz w:val="20"/>
              </w:rPr>
              <w:t>3</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4"/>
              <w:ind w:left="442"/>
              <w:rPr>
                <w:sz w:val="20"/>
              </w:rPr>
            </w:pPr>
            <w:r>
              <w:rPr>
                <w:sz w:val="20"/>
              </w:rPr>
              <w:t>其中：逾期三年以上的应收款项损失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5"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3"/>
              <w:ind w:right="268"/>
              <w:jc w:val="right"/>
              <w:rPr>
                <w:sz w:val="20"/>
              </w:rPr>
            </w:pPr>
            <w:r>
              <w:rPr>
                <w:w w:val="99"/>
                <w:sz w:val="20"/>
              </w:rPr>
              <w:t>4</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3"/>
              <w:ind w:left="1070"/>
              <w:rPr>
                <w:sz w:val="20"/>
              </w:rPr>
            </w:pPr>
            <w:r>
              <w:rPr>
                <w:sz w:val="20"/>
              </w:rPr>
              <w:t>逾期一年以上的小额应收款项损失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6"/>
              <w:ind w:right="268"/>
              <w:jc w:val="right"/>
              <w:rPr>
                <w:sz w:val="20"/>
              </w:rPr>
            </w:pPr>
            <w:r>
              <w:rPr>
                <w:w w:val="99"/>
                <w:sz w:val="20"/>
              </w:rPr>
              <w:t>5</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6"/>
              <w:ind w:left="22"/>
              <w:rPr>
                <w:sz w:val="20"/>
              </w:rPr>
            </w:pPr>
            <w:r>
              <w:rPr>
                <w:sz w:val="20"/>
              </w:rPr>
              <w:t>三、存货损失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3"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2"/>
              <w:ind w:right="268"/>
              <w:jc w:val="right"/>
              <w:rPr>
                <w:sz w:val="20"/>
              </w:rPr>
            </w:pPr>
            <w:r>
              <w:rPr>
                <w:w w:val="99"/>
                <w:sz w:val="20"/>
              </w:rPr>
              <w:t>6</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2"/>
              <w:ind w:left="442"/>
              <w:rPr>
                <w:sz w:val="20"/>
              </w:rPr>
            </w:pPr>
            <w:r>
              <w:rPr>
                <w:sz w:val="20"/>
              </w:rPr>
              <w:t>其中：存货盘亏、报废、损毁、变质或被盗损失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102"/>
              <w:ind w:right="268"/>
              <w:jc w:val="right"/>
              <w:rPr>
                <w:sz w:val="20"/>
              </w:rPr>
            </w:pPr>
            <w:r>
              <w:rPr>
                <w:w w:val="99"/>
                <w:sz w:val="20"/>
              </w:rPr>
              <w:t>7</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2"/>
              <w:ind w:left="22"/>
              <w:rPr>
                <w:sz w:val="20"/>
              </w:rPr>
            </w:pPr>
            <w:r>
              <w:rPr>
                <w:sz w:val="20"/>
              </w:rPr>
              <w:t>四、固定资产损失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1"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2"/>
              <w:ind w:right="268"/>
              <w:jc w:val="right"/>
              <w:rPr>
                <w:sz w:val="20"/>
              </w:rPr>
            </w:pPr>
            <w:r>
              <w:rPr>
                <w:w w:val="99"/>
                <w:sz w:val="20"/>
              </w:rPr>
              <w:t>8</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2"/>
              <w:ind w:left="442"/>
              <w:rPr>
                <w:sz w:val="20"/>
              </w:rPr>
            </w:pPr>
            <w:r>
              <w:rPr>
                <w:sz w:val="20"/>
              </w:rPr>
              <w:t>其中：固定资产盘亏、丢失、报废、损毁或被盗损失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1"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101"/>
              <w:ind w:right="268"/>
              <w:jc w:val="right"/>
              <w:rPr>
                <w:sz w:val="20"/>
              </w:rPr>
            </w:pPr>
            <w:r>
              <w:rPr>
                <w:w w:val="99"/>
                <w:sz w:val="20"/>
              </w:rPr>
              <w:t>9</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1"/>
              <w:ind w:left="22"/>
              <w:rPr>
                <w:sz w:val="20"/>
              </w:rPr>
            </w:pPr>
            <w:r>
              <w:rPr>
                <w:sz w:val="20"/>
              </w:rPr>
              <w:t>五、无形资产损失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1"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8"/>
              <w:ind w:right="216"/>
              <w:jc w:val="right"/>
              <w:rPr>
                <w:sz w:val="20"/>
              </w:rPr>
            </w:pPr>
            <w:r>
              <w:rPr>
                <w:sz w:val="20"/>
              </w:rPr>
              <w:t>10</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442"/>
              <w:rPr>
                <w:sz w:val="20"/>
              </w:rPr>
            </w:pPr>
            <w:r>
              <w:rPr>
                <w:sz w:val="20"/>
              </w:rPr>
              <w:t>其中：无形资产转让损失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8"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9"/>
              <w:ind w:right="216"/>
              <w:jc w:val="right"/>
              <w:rPr>
                <w:sz w:val="20"/>
              </w:rPr>
            </w:pPr>
            <w:r>
              <w:rPr>
                <w:sz w:val="20"/>
              </w:rPr>
              <w:t>11</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741" w:right="865"/>
              <w:jc w:val="center"/>
              <w:rPr>
                <w:sz w:val="20"/>
              </w:rPr>
            </w:pPr>
            <w:r>
              <w:rPr>
                <w:sz w:val="20"/>
              </w:rPr>
              <w:t>无形资产被替代或超过法律保护期限形成的损失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6"/>
              <w:ind w:right="216"/>
              <w:jc w:val="right"/>
              <w:rPr>
                <w:sz w:val="20"/>
              </w:rPr>
            </w:pPr>
            <w:r>
              <w:rPr>
                <w:sz w:val="20"/>
              </w:rPr>
              <w:t>12</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6"/>
              <w:ind w:left="22"/>
              <w:rPr>
                <w:sz w:val="20"/>
              </w:rPr>
            </w:pPr>
            <w:r>
              <w:rPr>
                <w:sz w:val="20"/>
              </w:rPr>
              <w:t>六、在建工程损失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6"/>
              <w:ind w:left="29"/>
              <w:jc w:val="center"/>
              <w:rPr>
                <w:sz w:val="20"/>
              </w:rPr>
            </w:pPr>
            <w:r>
              <w:rPr>
                <w:w w:val="99"/>
                <w:sz w:val="20"/>
              </w:rPr>
              <w:t>*</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8"/>
              <w:ind w:right="216"/>
              <w:jc w:val="right"/>
              <w:rPr>
                <w:sz w:val="20"/>
              </w:rPr>
            </w:pPr>
            <w:r>
              <w:rPr>
                <w:sz w:val="20"/>
              </w:rPr>
              <w:t>13</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442"/>
              <w:rPr>
                <w:sz w:val="20"/>
              </w:rPr>
            </w:pPr>
            <w:r>
              <w:rPr>
                <w:sz w:val="20"/>
              </w:rPr>
              <w:t>其中：在建工程停建、报废损失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29"/>
              <w:jc w:val="center"/>
              <w:rPr>
                <w:sz w:val="20"/>
              </w:rPr>
            </w:pPr>
            <w:r>
              <w:rPr>
                <w:w w:val="99"/>
                <w:sz w:val="20"/>
              </w:rPr>
              <w:t>*</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4"/>
              <w:ind w:right="216"/>
              <w:jc w:val="right"/>
              <w:rPr>
                <w:sz w:val="20"/>
              </w:rPr>
            </w:pPr>
            <w:r>
              <w:rPr>
                <w:sz w:val="20"/>
              </w:rPr>
              <w:t>14</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4"/>
              <w:ind w:left="22"/>
              <w:rPr>
                <w:sz w:val="20"/>
              </w:rPr>
            </w:pPr>
            <w:r>
              <w:rPr>
                <w:sz w:val="20"/>
              </w:rPr>
              <w:t>七、生产性生物资产损失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jc w:val="center"/>
        </w:trPr>
        <w:tc>
          <w:tcPr>
            <w:tcW w:w="504" w:type="dxa"/>
            <w:tcBorders>
              <w:top w:val="single" w:color="000000" w:sz="6" w:space="0"/>
              <w:bottom w:val="single" w:color="000000" w:sz="6" w:space="0"/>
              <w:right w:val="single" w:color="000000" w:sz="6" w:space="0"/>
            </w:tcBorders>
            <w:noWrap w:val="0"/>
            <w:vAlign w:val="top"/>
          </w:tcPr>
          <w:p>
            <w:pPr>
              <w:pStyle w:val="11"/>
              <w:spacing w:before="91"/>
              <w:ind w:right="216"/>
              <w:jc w:val="right"/>
              <w:rPr>
                <w:sz w:val="20"/>
              </w:rPr>
            </w:pPr>
            <w:r>
              <w:rPr>
                <w:sz w:val="20"/>
              </w:rPr>
              <w:t>15</w:t>
            </w:r>
          </w:p>
        </w:tc>
        <w:tc>
          <w:tcPr>
            <w:tcW w:w="473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1"/>
              <w:ind w:left="442" w:right="-15"/>
              <w:rPr>
                <w:sz w:val="20"/>
              </w:rPr>
            </w:pPr>
            <w:r>
              <w:rPr>
                <w:spacing w:val="-7"/>
                <w:w w:val="95"/>
                <w:sz w:val="20"/>
              </w:rPr>
              <w:t>其中：生产性生物资产盘亏、非正常死亡、被盗、丢失等产生的损失</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7"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bl>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tbl>
      <w:tblPr>
        <w:tblStyle w:val="8"/>
        <w:tblW w:w="112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4"/>
        <w:gridCol w:w="4734"/>
        <w:gridCol w:w="854"/>
        <w:gridCol w:w="854"/>
        <w:gridCol w:w="854"/>
        <w:gridCol w:w="854"/>
        <w:gridCol w:w="854"/>
        <w:gridCol w:w="854"/>
        <w:gridCol w:w="8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04" w:type="dxa"/>
            <w:tcBorders>
              <w:left w:val="single" w:color="000000" w:sz="12" w:space="0"/>
            </w:tcBorders>
            <w:noWrap w:val="0"/>
            <w:vAlign w:val="top"/>
          </w:tcPr>
          <w:p>
            <w:pPr>
              <w:pStyle w:val="11"/>
              <w:spacing w:before="101"/>
              <w:ind w:left="220" w:right="199"/>
              <w:jc w:val="center"/>
              <w:rPr>
                <w:sz w:val="20"/>
              </w:rPr>
            </w:pPr>
            <w:r>
              <w:rPr>
                <w:sz w:val="20"/>
              </w:rPr>
              <w:t>16</w:t>
            </w:r>
          </w:p>
        </w:tc>
        <w:tc>
          <w:tcPr>
            <w:tcW w:w="4734" w:type="dxa"/>
            <w:noWrap w:val="0"/>
            <w:vAlign w:val="top"/>
          </w:tcPr>
          <w:p>
            <w:pPr>
              <w:pStyle w:val="11"/>
              <w:spacing w:before="101"/>
              <w:ind w:left="22"/>
              <w:rPr>
                <w:sz w:val="20"/>
              </w:rPr>
            </w:pPr>
            <w:r>
              <w:rPr>
                <w:sz w:val="20"/>
              </w:rPr>
              <w:t>八、债权性投资损失(17+23)</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2" w:hRule="atLeast"/>
          <w:jc w:val="center"/>
        </w:trPr>
        <w:tc>
          <w:tcPr>
            <w:tcW w:w="504" w:type="dxa"/>
            <w:tcBorders>
              <w:left w:val="single" w:color="000000" w:sz="12" w:space="0"/>
            </w:tcBorders>
            <w:noWrap w:val="0"/>
            <w:vAlign w:val="top"/>
          </w:tcPr>
          <w:p>
            <w:pPr>
              <w:pStyle w:val="11"/>
              <w:spacing w:before="127"/>
              <w:ind w:left="220" w:right="199"/>
              <w:jc w:val="center"/>
              <w:rPr>
                <w:sz w:val="20"/>
              </w:rPr>
            </w:pPr>
            <w:r>
              <w:rPr>
                <w:sz w:val="20"/>
              </w:rPr>
              <w:t>17</w:t>
            </w:r>
          </w:p>
        </w:tc>
        <w:tc>
          <w:tcPr>
            <w:tcW w:w="4734" w:type="dxa"/>
            <w:noWrap w:val="0"/>
            <w:vAlign w:val="top"/>
          </w:tcPr>
          <w:p>
            <w:pPr>
              <w:pStyle w:val="11"/>
              <w:spacing w:before="127"/>
              <w:ind w:left="422"/>
              <w:rPr>
                <w:sz w:val="20"/>
              </w:rPr>
            </w:pPr>
            <w:r>
              <w:rPr>
                <w:sz w:val="20"/>
              </w:rPr>
              <w:t>（一）金融企业债权性投资损失（18+22）</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jc w:val="center"/>
        </w:trPr>
        <w:tc>
          <w:tcPr>
            <w:tcW w:w="504" w:type="dxa"/>
            <w:tcBorders>
              <w:left w:val="single" w:color="000000" w:sz="12" w:space="0"/>
            </w:tcBorders>
            <w:noWrap w:val="0"/>
            <w:vAlign w:val="top"/>
          </w:tcPr>
          <w:p>
            <w:pPr>
              <w:pStyle w:val="11"/>
              <w:spacing w:before="128"/>
              <w:ind w:left="220" w:right="199"/>
              <w:jc w:val="center"/>
              <w:rPr>
                <w:sz w:val="20"/>
              </w:rPr>
            </w:pPr>
            <w:r>
              <w:rPr>
                <w:sz w:val="20"/>
              </w:rPr>
              <w:t>18</w:t>
            </w:r>
          </w:p>
        </w:tc>
        <w:tc>
          <w:tcPr>
            <w:tcW w:w="4734" w:type="dxa"/>
            <w:noWrap w:val="0"/>
            <w:vAlign w:val="top"/>
          </w:tcPr>
          <w:p>
            <w:pPr>
              <w:pStyle w:val="11"/>
              <w:spacing w:before="128"/>
              <w:ind w:left="641"/>
              <w:rPr>
                <w:sz w:val="20"/>
              </w:rPr>
            </w:pPr>
            <w:r>
              <w:rPr>
                <w:sz w:val="20"/>
              </w:rPr>
              <w:t>1</w:t>
            </w:r>
            <w:r>
              <w:rPr>
                <w:rFonts w:hint="eastAsia"/>
                <w:sz w:val="20"/>
                <w:lang w:eastAsia="zh-CN"/>
              </w:rPr>
              <w:t>、</w:t>
            </w:r>
            <w:r>
              <w:rPr>
                <w:sz w:val="20"/>
              </w:rPr>
              <w:t>贷款损失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jc w:val="center"/>
        </w:trPr>
        <w:tc>
          <w:tcPr>
            <w:tcW w:w="504" w:type="dxa"/>
            <w:tcBorders>
              <w:left w:val="single" w:color="000000" w:sz="12" w:space="0"/>
            </w:tcBorders>
            <w:noWrap w:val="0"/>
            <w:vAlign w:val="top"/>
          </w:tcPr>
          <w:p>
            <w:pPr>
              <w:pStyle w:val="11"/>
              <w:spacing w:before="96"/>
              <w:ind w:left="220" w:right="199"/>
              <w:jc w:val="center"/>
              <w:rPr>
                <w:sz w:val="20"/>
              </w:rPr>
            </w:pPr>
            <w:r>
              <w:rPr>
                <w:sz w:val="20"/>
              </w:rPr>
              <w:t>19</w:t>
            </w:r>
          </w:p>
        </w:tc>
        <w:tc>
          <w:tcPr>
            <w:tcW w:w="4734" w:type="dxa"/>
            <w:noWrap w:val="0"/>
            <w:vAlign w:val="top"/>
          </w:tcPr>
          <w:p>
            <w:pPr>
              <w:pStyle w:val="11"/>
              <w:spacing w:before="96"/>
              <w:ind w:left="842"/>
              <w:rPr>
                <w:sz w:val="20"/>
              </w:rPr>
            </w:pPr>
            <w:r>
              <w:rPr>
                <w:sz w:val="20"/>
              </w:rPr>
              <w:t>其中：符合条件的涉农和中小企业贷款损失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jc w:val="center"/>
        </w:trPr>
        <w:tc>
          <w:tcPr>
            <w:tcW w:w="504" w:type="dxa"/>
            <w:tcBorders>
              <w:left w:val="single" w:color="000000" w:sz="12" w:space="0"/>
            </w:tcBorders>
            <w:noWrap w:val="0"/>
            <w:vAlign w:val="top"/>
          </w:tcPr>
          <w:p>
            <w:pPr>
              <w:pStyle w:val="11"/>
              <w:spacing w:before="122"/>
              <w:ind w:left="220" w:right="199"/>
              <w:jc w:val="center"/>
              <w:rPr>
                <w:sz w:val="20"/>
              </w:rPr>
            </w:pPr>
            <w:r>
              <w:rPr>
                <w:sz w:val="20"/>
              </w:rPr>
              <w:t>20</w:t>
            </w:r>
          </w:p>
        </w:tc>
        <w:tc>
          <w:tcPr>
            <w:tcW w:w="4734" w:type="dxa"/>
            <w:noWrap w:val="0"/>
            <w:vAlign w:val="top"/>
          </w:tcPr>
          <w:p>
            <w:pPr>
              <w:pStyle w:val="11"/>
              <w:spacing w:before="122"/>
              <w:ind w:left="981" w:right="865"/>
              <w:jc w:val="center"/>
              <w:rPr>
                <w:sz w:val="20"/>
              </w:rPr>
            </w:pPr>
            <w:r>
              <w:rPr>
                <w:sz w:val="20"/>
              </w:rPr>
              <w:t>其中：单户贷款余额 300 万（含）以下的贷款损失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jc w:val="center"/>
        </w:trPr>
        <w:tc>
          <w:tcPr>
            <w:tcW w:w="504" w:type="dxa"/>
            <w:tcBorders>
              <w:left w:val="single" w:color="000000" w:sz="12" w:space="0"/>
            </w:tcBorders>
            <w:noWrap w:val="0"/>
            <w:vAlign w:val="top"/>
          </w:tcPr>
          <w:p>
            <w:pPr>
              <w:pStyle w:val="11"/>
              <w:spacing w:before="96"/>
              <w:ind w:left="220" w:right="199"/>
              <w:jc w:val="center"/>
              <w:rPr>
                <w:sz w:val="20"/>
              </w:rPr>
            </w:pPr>
            <w:r>
              <w:rPr>
                <w:sz w:val="20"/>
              </w:rPr>
              <w:t>21</w:t>
            </w:r>
          </w:p>
        </w:tc>
        <w:tc>
          <w:tcPr>
            <w:tcW w:w="4734" w:type="dxa"/>
            <w:noWrap w:val="0"/>
            <w:vAlign w:val="top"/>
          </w:tcPr>
          <w:p>
            <w:pPr>
              <w:pStyle w:val="11"/>
              <w:spacing w:before="96"/>
              <w:ind w:left="1651" w:right="-15"/>
              <w:rPr>
                <w:sz w:val="20"/>
              </w:rPr>
            </w:pPr>
            <w:r>
              <w:rPr>
                <w:spacing w:val="-8"/>
                <w:sz w:val="20"/>
              </w:rPr>
              <w:t xml:space="preserve">单户贷款余额 </w:t>
            </w:r>
            <w:r>
              <w:rPr>
                <w:sz w:val="20"/>
              </w:rPr>
              <w:t>300</w:t>
            </w:r>
            <w:r>
              <w:rPr>
                <w:spacing w:val="-22"/>
                <w:sz w:val="20"/>
              </w:rPr>
              <w:t xml:space="preserve"> 万元至 </w:t>
            </w:r>
            <w:r>
              <w:rPr>
                <w:sz w:val="20"/>
              </w:rPr>
              <w:t>1000</w:t>
            </w:r>
            <w:r>
              <w:rPr>
                <w:spacing w:val="-27"/>
                <w:sz w:val="20"/>
              </w:rPr>
              <w:t xml:space="preserve"> 万元</w:t>
            </w:r>
            <w:r>
              <w:rPr>
                <w:sz w:val="20"/>
              </w:rPr>
              <w:t>（含</w:t>
            </w:r>
            <w:r>
              <w:rPr>
                <w:spacing w:val="-29"/>
                <w:sz w:val="20"/>
              </w:rPr>
              <w:t>）</w:t>
            </w:r>
            <w:r>
              <w:rPr>
                <w:spacing w:val="-2"/>
                <w:sz w:val="20"/>
              </w:rPr>
              <w:t>的 贷款损失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2" w:hRule="atLeast"/>
          <w:jc w:val="center"/>
        </w:trPr>
        <w:tc>
          <w:tcPr>
            <w:tcW w:w="504" w:type="dxa"/>
            <w:tcBorders>
              <w:left w:val="single" w:color="000000" w:sz="12" w:space="0"/>
            </w:tcBorders>
            <w:noWrap w:val="0"/>
            <w:vAlign w:val="top"/>
          </w:tcPr>
          <w:p>
            <w:pPr>
              <w:pStyle w:val="11"/>
              <w:spacing w:before="93"/>
              <w:ind w:left="220" w:right="199"/>
              <w:jc w:val="center"/>
              <w:rPr>
                <w:sz w:val="20"/>
              </w:rPr>
            </w:pPr>
            <w:r>
              <w:rPr>
                <w:sz w:val="20"/>
              </w:rPr>
              <w:t>22</w:t>
            </w:r>
          </w:p>
        </w:tc>
        <w:tc>
          <w:tcPr>
            <w:tcW w:w="4734" w:type="dxa"/>
            <w:noWrap w:val="0"/>
            <w:vAlign w:val="top"/>
          </w:tcPr>
          <w:p>
            <w:pPr>
              <w:pStyle w:val="11"/>
              <w:spacing w:before="93"/>
              <w:ind w:left="641"/>
              <w:rPr>
                <w:sz w:val="20"/>
              </w:rPr>
            </w:pPr>
            <w:r>
              <w:rPr>
                <w:sz w:val="20"/>
              </w:rPr>
              <w:t>2</w:t>
            </w:r>
            <w:r>
              <w:rPr>
                <w:rFonts w:hint="eastAsia"/>
                <w:sz w:val="20"/>
                <w:lang w:eastAsia="zh-CN"/>
              </w:rPr>
              <w:t>、</w:t>
            </w:r>
            <w:r>
              <w:rPr>
                <w:sz w:val="20"/>
              </w:rPr>
              <w:t>其他债权性投资损失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3" w:hRule="atLeast"/>
          <w:jc w:val="center"/>
        </w:trPr>
        <w:tc>
          <w:tcPr>
            <w:tcW w:w="504" w:type="dxa"/>
            <w:tcBorders>
              <w:left w:val="single" w:color="000000" w:sz="12" w:space="0"/>
            </w:tcBorders>
            <w:noWrap w:val="0"/>
            <w:vAlign w:val="top"/>
          </w:tcPr>
          <w:p>
            <w:pPr>
              <w:pStyle w:val="11"/>
              <w:spacing w:before="103"/>
              <w:ind w:left="220" w:right="199"/>
              <w:jc w:val="center"/>
              <w:rPr>
                <w:sz w:val="20"/>
              </w:rPr>
            </w:pPr>
            <w:r>
              <w:rPr>
                <w:sz w:val="20"/>
              </w:rPr>
              <w:t>23</w:t>
            </w:r>
          </w:p>
        </w:tc>
        <w:tc>
          <w:tcPr>
            <w:tcW w:w="4734" w:type="dxa"/>
            <w:noWrap w:val="0"/>
            <w:vAlign w:val="top"/>
          </w:tcPr>
          <w:p>
            <w:pPr>
              <w:pStyle w:val="11"/>
              <w:spacing w:before="103"/>
              <w:ind w:left="422"/>
              <w:rPr>
                <w:sz w:val="20"/>
              </w:rPr>
            </w:pPr>
            <w:r>
              <w:rPr>
                <w:sz w:val="20"/>
              </w:rPr>
              <w:t>（二）非金融企业债权性投资损失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jc w:val="center"/>
        </w:trPr>
        <w:tc>
          <w:tcPr>
            <w:tcW w:w="504" w:type="dxa"/>
            <w:tcBorders>
              <w:left w:val="single" w:color="000000" w:sz="12" w:space="0"/>
            </w:tcBorders>
            <w:noWrap w:val="0"/>
            <w:vAlign w:val="top"/>
          </w:tcPr>
          <w:p>
            <w:pPr>
              <w:pStyle w:val="11"/>
              <w:spacing w:before="92"/>
              <w:ind w:left="220" w:right="199"/>
              <w:jc w:val="center"/>
              <w:rPr>
                <w:sz w:val="20"/>
              </w:rPr>
            </w:pPr>
            <w:r>
              <w:rPr>
                <w:sz w:val="20"/>
              </w:rPr>
              <w:t>24</w:t>
            </w:r>
          </w:p>
        </w:tc>
        <w:tc>
          <w:tcPr>
            <w:tcW w:w="4734" w:type="dxa"/>
            <w:noWrap w:val="0"/>
            <w:vAlign w:val="top"/>
          </w:tcPr>
          <w:p>
            <w:pPr>
              <w:pStyle w:val="11"/>
              <w:spacing w:before="92"/>
              <w:ind w:left="22"/>
              <w:rPr>
                <w:sz w:val="20"/>
              </w:rPr>
            </w:pPr>
            <w:r>
              <w:rPr>
                <w:sz w:val="20"/>
              </w:rPr>
              <w:t>九、股权（权益）性投资损失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jc w:val="center"/>
        </w:trPr>
        <w:tc>
          <w:tcPr>
            <w:tcW w:w="504" w:type="dxa"/>
            <w:tcBorders>
              <w:left w:val="single" w:color="000000" w:sz="12" w:space="0"/>
            </w:tcBorders>
            <w:noWrap w:val="0"/>
            <w:vAlign w:val="top"/>
          </w:tcPr>
          <w:p>
            <w:pPr>
              <w:pStyle w:val="11"/>
              <w:spacing w:before="96"/>
              <w:ind w:left="220" w:right="199"/>
              <w:jc w:val="center"/>
              <w:rPr>
                <w:sz w:val="20"/>
              </w:rPr>
            </w:pPr>
            <w:r>
              <w:rPr>
                <w:sz w:val="20"/>
              </w:rPr>
              <w:t>25</w:t>
            </w:r>
          </w:p>
        </w:tc>
        <w:tc>
          <w:tcPr>
            <w:tcW w:w="4734" w:type="dxa"/>
            <w:noWrap w:val="0"/>
            <w:vAlign w:val="top"/>
          </w:tcPr>
          <w:p>
            <w:pPr>
              <w:pStyle w:val="11"/>
              <w:spacing w:before="96"/>
              <w:ind w:left="442"/>
              <w:rPr>
                <w:sz w:val="20"/>
              </w:rPr>
            </w:pPr>
            <w:r>
              <w:rPr>
                <w:sz w:val="20"/>
              </w:rPr>
              <w:t>其中：股权转让损失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jc w:val="center"/>
        </w:trPr>
        <w:tc>
          <w:tcPr>
            <w:tcW w:w="504" w:type="dxa"/>
            <w:tcBorders>
              <w:left w:val="single" w:color="000000" w:sz="12" w:space="0"/>
            </w:tcBorders>
            <w:noWrap w:val="0"/>
            <w:vAlign w:val="top"/>
          </w:tcPr>
          <w:p>
            <w:pPr>
              <w:pStyle w:val="11"/>
              <w:spacing w:before="145"/>
              <w:ind w:left="220" w:right="199"/>
              <w:jc w:val="center"/>
              <w:rPr>
                <w:sz w:val="20"/>
              </w:rPr>
            </w:pPr>
            <w:r>
              <w:rPr>
                <w:sz w:val="20"/>
              </w:rPr>
              <w:t>26</w:t>
            </w:r>
          </w:p>
        </w:tc>
        <w:tc>
          <w:tcPr>
            <w:tcW w:w="4734" w:type="dxa"/>
            <w:noWrap w:val="0"/>
            <w:vAlign w:val="top"/>
          </w:tcPr>
          <w:p>
            <w:pPr>
              <w:pStyle w:val="11"/>
              <w:spacing w:before="18" w:line="250" w:lineRule="atLeast"/>
              <w:ind w:left="422" w:right="-15" w:hanging="401"/>
              <w:rPr>
                <w:sz w:val="20"/>
              </w:rPr>
            </w:pPr>
            <w:r>
              <w:rPr>
                <w:spacing w:val="-5"/>
                <w:w w:val="95"/>
                <w:sz w:val="20"/>
              </w:rPr>
              <w:t xml:space="preserve">十、通过各种交易场所、市场买卖债券、股票、期货、基金以及金融衍生  </w:t>
            </w:r>
            <w:r>
              <w:rPr>
                <w:spacing w:val="-5"/>
                <w:sz w:val="20"/>
              </w:rPr>
              <w:t>产品等发生的损失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jc w:val="center"/>
        </w:trPr>
        <w:tc>
          <w:tcPr>
            <w:tcW w:w="504" w:type="dxa"/>
            <w:tcBorders>
              <w:left w:val="single" w:color="000000" w:sz="12" w:space="0"/>
            </w:tcBorders>
            <w:noWrap w:val="0"/>
            <w:vAlign w:val="top"/>
          </w:tcPr>
          <w:p>
            <w:pPr>
              <w:pStyle w:val="11"/>
              <w:spacing w:before="128"/>
              <w:ind w:left="220" w:right="199"/>
              <w:jc w:val="center"/>
              <w:rPr>
                <w:sz w:val="20"/>
              </w:rPr>
            </w:pPr>
            <w:r>
              <w:rPr>
                <w:sz w:val="20"/>
              </w:rPr>
              <w:t>27</w:t>
            </w:r>
          </w:p>
        </w:tc>
        <w:tc>
          <w:tcPr>
            <w:tcW w:w="4734" w:type="dxa"/>
            <w:noWrap w:val="0"/>
            <w:vAlign w:val="top"/>
          </w:tcPr>
          <w:p>
            <w:pPr>
              <w:pStyle w:val="11"/>
              <w:spacing w:before="128"/>
              <w:ind w:left="22"/>
              <w:rPr>
                <w:sz w:val="20"/>
              </w:rPr>
            </w:pPr>
            <w:r>
              <w:rPr>
                <w:sz w:val="20"/>
              </w:rPr>
              <w:t>十一、打包出售资产损失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jc w:val="center"/>
        </w:trPr>
        <w:tc>
          <w:tcPr>
            <w:tcW w:w="504" w:type="dxa"/>
            <w:tcBorders>
              <w:left w:val="single" w:color="000000" w:sz="12" w:space="0"/>
            </w:tcBorders>
            <w:noWrap w:val="0"/>
            <w:vAlign w:val="top"/>
          </w:tcPr>
          <w:p>
            <w:pPr>
              <w:pStyle w:val="11"/>
              <w:spacing w:before="98"/>
              <w:ind w:left="220" w:right="199"/>
              <w:jc w:val="center"/>
              <w:rPr>
                <w:sz w:val="20"/>
              </w:rPr>
            </w:pPr>
            <w:r>
              <w:rPr>
                <w:sz w:val="20"/>
              </w:rPr>
              <w:t>28</w:t>
            </w:r>
          </w:p>
        </w:tc>
        <w:tc>
          <w:tcPr>
            <w:tcW w:w="4734" w:type="dxa"/>
            <w:noWrap w:val="0"/>
            <w:vAlign w:val="top"/>
          </w:tcPr>
          <w:p>
            <w:pPr>
              <w:pStyle w:val="11"/>
              <w:spacing w:before="98"/>
              <w:ind w:left="22"/>
              <w:rPr>
                <w:sz w:val="20"/>
              </w:rPr>
            </w:pPr>
            <w:r>
              <w:rPr>
                <w:sz w:val="20"/>
              </w:rPr>
              <w:t>十二、其他资产损失</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5" w:hRule="atLeast"/>
          <w:jc w:val="center"/>
        </w:trPr>
        <w:tc>
          <w:tcPr>
            <w:tcW w:w="504" w:type="dxa"/>
            <w:tcBorders>
              <w:left w:val="single" w:color="000000" w:sz="12" w:space="0"/>
            </w:tcBorders>
            <w:noWrap w:val="0"/>
            <w:vAlign w:val="top"/>
          </w:tcPr>
          <w:p>
            <w:pPr>
              <w:pStyle w:val="11"/>
              <w:spacing w:before="93"/>
              <w:ind w:left="220" w:right="199"/>
              <w:jc w:val="center"/>
              <w:rPr>
                <w:sz w:val="20"/>
              </w:rPr>
            </w:pPr>
            <w:r>
              <w:rPr>
                <w:sz w:val="20"/>
              </w:rPr>
              <w:t>29</w:t>
            </w:r>
          </w:p>
        </w:tc>
        <w:tc>
          <w:tcPr>
            <w:tcW w:w="4734" w:type="dxa"/>
            <w:noWrap w:val="0"/>
            <w:vAlign w:val="top"/>
          </w:tcPr>
          <w:p>
            <w:pPr>
              <w:pStyle w:val="11"/>
              <w:spacing w:before="93"/>
              <w:ind w:left="22"/>
              <w:rPr>
                <w:sz w:val="20"/>
              </w:rPr>
            </w:pPr>
            <w:r>
              <w:rPr>
                <w:sz w:val="20"/>
              </w:rPr>
              <w:t>合计（1+2+5+7+9+12+14+16+24+26+27+28）</w:t>
            </w: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54" w:type="dxa"/>
            <w:noWrap w:val="0"/>
            <w:vAlign w:val="top"/>
          </w:tcPr>
          <w:p>
            <w:pPr>
              <w:pStyle w:val="11"/>
              <w:rPr>
                <w:rFonts w:ascii="Times New Roman"/>
                <w:sz w:val="18"/>
              </w:rPr>
            </w:pPr>
          </w:p>
        </w:tc>
        <w:tc>
          <w:tcPr>
            <w:tcW w:w="897" w:type="dxa"/>
            <w:tcBorders>
              <w:right w:val="single" w:color="000000" w:sz="12" w:space="0"/>
            </w:tcBorders>
            <w:noWrap w:val="0"/>
            <w:vAlign w:val="top"/>
          </w:tcPr>
          <w:p>
            <w:pPr>
              <w:pStyle w:val="11"/>
              <w:rPr>
                <w:rFonts w:ascii="Times New Roman"/>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504" w:type="dxa"/>
            <w:tcBorders>
              <w:left w:val="single" w:color="000000" w:sz="12" w:space="0"/>
              <w:bottom w:val="single" w:color="000000" w:sz="12" w:space="0"/>
            </w:tcBorders>
            <w:noWrap w:val="0"/>
            <w:vAlign w:val="top"/>
          </w:tcPr>
          <w:p>
            <w:pPr>
              <w:pStyle w:val="11"/>
              <w:spacing w:before="96"/>
              <w:ind w:left="220" w:right="199"/>
              <w:jc w:val="center"/>
              <w:rPr>
                <w:sz w:val="20"/>
              </w:rPr>
            </w:pPr>
            <w:r>
              <w:rPr>
                <w:sz w:val="20"/>
              </w:rPr>
              <w:t>30</w:t>
            </w:r>
          </w:p>
        </w:tc>
        <w:tc>
          <w:tcPr>
            <w:tcW w:w="4734" w:type="dxa"/>
            <w:tcBorders>
              <w:bottom w:val="single" w:color="000000" w:sz="12" w:space="0"/>
            </w:tcBorders>
            <w:noWrap w:val="0"/>
            <w:vAlign w:val="top"/>
          </w:tcPr>
          <w:p>
            <w:pPr>
              <w:pStyle w:val="11"/>
              <w:spacing w:before="96"/>
              <w:ind w:left="521"/>
              <w:rPr>
                <w:sz w:val="20"/>
              </w:rPr>
            </w:pPr>
            <w:r>
              <w:rPr>
                <w:sz w:val="20"/>
              </w:rPr>
              <w:t>其中：分支机构留存备查的资产损失</w:t>
            </w:r>
          </w:p>
        </w:tc>
        <w:tc>
          <w:tcPr>
            <w:tcW w:w="854" w:type="dxa"/>
            <w:tcBorders>
              <w:bottom w:val="single" w:color="000000" w:sz="12" w:space="0"/>
            </w:tcBorders>
            <w:noWrap w:val="0"/>
            <w:vAlign w:val="top"/>
          </w:tcPr>
          <w:p>
            <w:pPr>
              <w:pStyle w:val="11"/>
              <w:rPr>
                <w:rFonts w:ascii="Times New Roman"/>
                <w:sz w:val="18"/>
              </w:rPr>
            </w:pPr>
          </w:p>
        </w:tc>
        <w:tc>
          <w:tcPr>
            <w:tcW w:w="854" w:type="dxa"/>
            <w:tcBorders>
              <w:bottom w:val="single" w:color="000000" w:sz="12" w:space="0"/>
            </w:tcBorders>
            <w:noWrap w:val="0"/>
            <w:vAlign w:val="top"/>
          </w:tcPr>
          <w:p>
            <w:pPr>
              <w:pStyle w:val="11"/>
              <w:rPr>
                <w:rFonts w:ascii="Times New Roman"/>
                <w:sz w:val="18"/>
              </w:rPr>
            </w:pPr>
          </w:p>
        </w:tc>
        <w:tc>
          <w:tcPr>
            <w:tcW w:w="854" w:type="dxa"/>
            <w:tcBorders>
              <w:bottom w:val="single" w:color="000000" w:sz="12" w:space="0"/>
            </w:tcBorders>
            <w:noWrap w:val="0"/>
            <w:vAlign w:val="top"/>
          </w:tcPr>
          <w:p>
            <w:pPr>
              <w:pStyle w:val="11"/>
              <w:rPr>
                <w:rFonts w:ascii="Times New Roman"/>
                <w:sz w:val="18"/>
              </w:rPr>
            </w:pPr>
          </w:p>
        </w:tc>
        <w:tc>
          <w:tcPr>
            <w:tcW w:w="854" w:type="dxa"/>
            <w:tcBorders>
              <w:bottom w:val="single" w:color="000000" w:sz="12" w:space="0"/>
            </w:tcBorders>
            <w:noWrap w:val="0"/>
            <w:vAlign w:val="top"/>
          </w:tcPr>
          <w:p>
            <w:pPr>
              <w:pStyle w:val="11"/>
              <w:rPr>
                <w:rFonts w:ascii="Times New Roman"/>
                <w:sz w:val="18"/>
              </w:rPr>
            </w:pPr>
          </w:p>
        </w:tc>
        <w:tc>
          <w:tcPr>
            <w:tcW w:w="854" w:type="dxa"/>
            <w:tcBorders>
              <w:bottom w:val="single" w:color="000000" w:sz="12" w:space="0"/>
            </w:tcBorders>
            <w:noWrap w:val="0"/>
            <w:vAlign w:val="top"/>
          </w:tcPr>
          <w:p>
            <w:pPr>
              <w:pStyle w:val="11"/>
              <w:rPr>
                <w:rFonts w:ascii="Times New Roman"/>
                <w:sz w:val="18"/>
              </w:rPr>
            </w:pPr>
          </w:p>
        </w:tc>
        <w:tc>
          <w:tcPr>
            <w:tcW w:w="854" w:type="dxa"/>
            <w:tcBorders>
              <w:bottom w:val="single" w:color="000000" w:sz="12" w:space="0"/>
            </w:tcBorders>
            <w:noWrap w:val="0"/>
            <w:vAlign w:val="top"/>
          </w:tcPr>
          <w:p>
            <w:pPr>
              <w:pStyle w:val="11"/>
              <w:rPr>
                <w:rFonts w:ascii="Times New Roman"/>
                <w:sz w:val="18"/>
              </w:rPr>
            </w:pPr>
          </w:p>
        </w:tc>
        <w:tc>
          <w:tcPr>
            <w:tcW w:w="897" w:type="dxa"/>
            <w:tcBorders>
              <w:bottom w:val="single" w:color="000000" w:sz="12" w:space="0"/>
              <w:right w:val="single" w:color="000000" w:sz="12" w:space="0"/>
            </w:tcBorders>
            <w:noWrap w:val="0"/>
            <w:vAlign w:val="top"/>
          </w:tcPr>
          <w:p>
            <w:pPr>
              <w:pStyle w:val="11"/>
              <w:rPr>
                <w:rFonts w:ascii="Times New Roman"/>
                <w:sz w:val="18"/>
              </w:rPr>
            </w:pPr>
          </w:p>
        </w:tc>
      </w:tr>
    </w:tbl>
    <w:p>
      <w:pPr>
        <w:pStyle w:val="4"/>
        <w:bidi w:val="0"/>
        <w:rPr>
          <w:rFonts w:hint="eastAsia"/>
          <w:lang w:eastAsia="zh-CN"/>
        </w:rPr>
      </w:pPr>
      <w:r>
        <w:rPr>
          <w:rFonts w:hint="eastAsia"/>
          <w:lang w:eastAsia="zh-CN"/>
        </w:rPr>
        <w:t>A105090</w:t>
      </w:r>
      <w:r>
        <w:rPr>
          <w:rFonts w:hint="eastAsia"/>
          <w:lang w:eastAsia="zh-CN"/>
        </w:rPr>
        <w:tab/>
      </w:r>
      <w:r>
        <w:rPr>
          <w:rFonts w:hint="eastAsia"/>
          <w:lang w:eastAsia="zh-CN"/>
        </w:rPr>
        <w:t>《资产损失税前扣除及纳税调整明细表》填报说明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本表适用于发生资产损失税前扣除项目及纳税调整项目的纳税人填报。纳税人根据税法、《财政部 国家税务总局关于企业资产损失税前扣除政策的通知》（财税〔2009〕57 号）、《国家税务总局关于发布〈企业资产损失所得税税前扣除管理办法〉的公告》（2011 年第 25 号发布、国家税务总局公告 2018 年第 31 号修改）、《国家税务总局关于商业零售企业存货损失税前扣除问题的公告》（2014 年第 3 号）、《国家税务总局关于企业因国务院决定事项形成的资产损失税前扣除问题的公告》（2014 年第 18 号）、《财政部 税务总局关于金融企业涉农贷款和中小企业贷款损失准备金税前扣除有关政策的公告》（2019 年第 85 号）、《财政部 税务总局关于金融企业贷款损失准备金企业所得税税前扣除有关政策的公告》（2019 年第 86 号）、《国家税务总局关于金融企业涉农贷款和中小企业贷款损失税前扣除问题的公告》（2015 年第 25 号）、《国家税务总局关于企业所得税资产损失资料留存备查有关事项的公告》（2018 年第 15 号） 等相关规定，及国家统一企业会计制度，填报资产损失的会计处理、税收规定，以及纳税调整情况。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纳税人在第 1 至 28 行按资产类型填报留存备查的资产损失情况，跨地区经营汇总纳税企业在第 1 行至 28 行应填报总机构和全部分支机构的资产损失情况，并在第 30 行填报各分支机构留存备查的资产损失汇总情况。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行“一、现金及银行存款损失”：填报纳税人当年发生的现金损失和银行存款损失的账载金额、资产处置收入、赔偿收入、资产计税基础、资产损失的税收金额及纳税调整金额。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行“二、应收及预付款项坏账损失”：填报纳税人当年发生的应收及预付款项坏账损失的账载金额、资产损失准备金核销金额、资产处置收入、赔偿收入、资产计税基础、资产损失的税收金额及纳税调整金额。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行“逾期三年以上的应收款项损失”：填报纳税人当年发生的应收及预付款项坏账损失中，逾期三年以上的应收款项且当年在会计上已作为损失处理的坏账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行“逾期一年以上的小额应收款项损失”：填报纳税人当年发生的应收及预付款项坏账损失中，逾期一年以上，单笔数额不超过五万或者不超过企业年度收入总额万分之一的应收款项，会计上已经作为损失处理的坏账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行“三、存货损失”：填报纳税人当年发生的存货损失的账载金额、资产损失准备金核销金额、资产处置收入、赔偿收入、资产计税基础、资产损失的税收金额及纳税调整金额。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行“存货盘亏、报废、损毁、变质或被盗损失”：填报纳税人当年发生的存货损失中，存货盘亏损失、存货报废、毁损或变质损失以及存货被盗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行“四、固定资产损失”：填报纳税人当年发生的固定资产损失的账载金额、资产损失准备金核销金额、资产处置收入、赔偿收入、资产计税基础、资产损失的税收金额及纳税调整金额。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行“固定资产盘亏、丢失、报废、损毁或被盗损失”：填报纳税人当年发生的固定资产损失中，固定资产盘亏、丢失损失，报废、毁损损失以及被盗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行“五、无形资产损失”：填报纳税人当年发生的无形资产损失的账载金额、资产损失准备金核销金额、资产处置收入、赔偿收入、资产计税基础、资产损失的税收金额及纳税调整金额。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10 行“无形资产转让损失”：填报纳税人当年在正常经营管理活动中，按照公允价格转让无形资产发生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11 行“无形资产被替代或超过法律保护期限形成的损失”：填报纳税人当年发生的无形资产损失中，被其他新技术所代替或超过法律保护期限，已经丧失使用价值和转让价值，尚未摊销的无形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 12 行“六、在建工程损失”：填报纳税人当年发生的在建工程损失的账载金额、资产处置收入、赔偿收入、资产计税基础、资产损失的税收金额及纳税调整金额。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 13 行“在建工程停建、报废损失”：填报纳税人当年发生的在建工程损失中，在建工程停建、报废损失的账载金额、资产处置收入、赔偿收入、资产计税基础、资产损失的税收金额及纳税调整金额。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 14 行“七、生产性生物资产损失”：填报纳税人当年发生的生产性生物资产损失的账载金额、资产损失准备金核销金额、资产处置收入、赔偿收入、资产计税基础、资产损失的税收金额及纳税调整金额。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 15 行“生产性生物资产盘亏、非正常死亡、被盗、丢失等产生的损失”： 填报纳税人当年发生的生产性生物资产损失中，生产性生物资产盘亏损失、因森林病虫害、疫情、死亡而产生的生产性生物资产损失以及被盗伐、被盗、丢失而产生的生产性生物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 16 行“八、债权性投资损失”：填报纳税人当年发生的债权性投资损失的账载金额、资产损失准备金核销金额、资产处置收入、赔偿收入、资产计税基础、资产损失的税收金额及纳税调整金额。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 17 行“（一）金融企业债权性投资损失”：填报金融企业当年发生的债权性投资损失的账载金额、资产损失准备金核销金额、资产处置收入、赔偿收入、资产计税基础、资产损失的税收金额及纳税调整金额。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18、第 18 行“1、贷款损失”：填报金融企业当年发生的贷款损失的账载金额、资产损失准备金核销金额、资产处置收入、赔偿收入、资产计税基础、资产损失的税收金额及纳税调整金额。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19、第 19 行“符合条件的涉农和中小企业贷款损失”：填报金融企业当年发生的， 符合规定条件的涉农和中小企业贷款形成的资产损失的账载金额、资产损失准备金核销金额、资产处置收入、赔偿收入、资产计税基础、资产损失的税收金额及纳税调整金额。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20、第 20 行“单户贷款余额 300 万（含）以下的贷款损失”：填报金融企业当年</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发生的符合条件的涉农和中小企业贷款损失中，单户贷款余额 300 万（含）以下的资产损失的账载金额、资产损失准备金核销金额、资产处置收入、赔偿收入、资产计税基础、资产损失的税收金额及纳税调整金额。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21、第 21 行“单户贷款余额 300 万元至 1000 万元（含）的贷款损失”：填报金融</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企业当年发生的符合条件的涉农和中小企业贷款损失中，单户余额 300 万元至 1000 万元（含）的资产损失的账载金额、资产损失准备金核销金额、资产处置收入、赔偿收入、资产计税基础、资产损失的税收金额及纳税调整金额。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22、第 22 行“2、其他债权性投资损失”：填报金融企业当年发生的，除贷款损失以外的其他债权性投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23、第 23 行“（二）非金融企业债权性投资损失”：填报非金融企业当年发生的债权性投资损失的账载金额、资产损失准备金核销金额、资产处置收入、赔偿收入、资产计税基础、资产损失的税收金额及纳税调整金额。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24、第 24 行“九、股权（权益）性投资损失”：填报纳税人当年发生的股权（权益）性投资损失的账载金额、资产损失准备金核销金额、资产处置收入、赔偿收入、资产计税基础、资产损失的税收金额及纳税调整金额。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25、第 25 行“股权转让损失”：填报纳税人当年发生的股权（权益）性投资损失中，因股权转让形成的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26、第 26 行“十、通过各种场所、市场等买卖债券、股票、期货、基金以及金融衍生产品等发生的损失”：填报纳税人当年发生的，按照市场公平交易原则，通过各种交易场所、市场等买卖债券、股票、期货、基金以及金融衍生产品等发生的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27、第 27 行“十一、打包出售资产损失”：填报纳税人当年发生的，将不同类别的资产捆绑（打包），以拍卖、询价、竞争性谈判、招标等市场方式出售形成的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28、第 28 行“十二、其他资产损失”：填报纳税人当年发生的其他资产损失的账载金额、资产损失准备金核销金额、资产处置收入、赔偿收入、资产计税基础、资产损失的税收金额及纳税调整金额。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29、第 29 行“合计”行次：填报第 1+2+5+7+9+12+14+16+24+26+27+28 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30、第 30 行“分支机构留存备查的资产损失”：填报跨地区经营企业各分支机构留存备查的资产损失的账载金额、资产损失准备金核销金额、资产处置收入、赔偿收入、资产计税基础、资产损失的税收金额及纳税调整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列“资产损失直接计入本年损益金额”：填报纳税人会计核算计入当期损益的对应项目的资产损失金额，不包含当年度通过准备金项目核销的资产损失金额。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列“资产损失准备金核销金额”：填报纳税人会计核算当年度通过准备金项目核销的资产损失金额。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列“资产处置收入”：填报纳税人处置发生损失的资产可收回的残值或处置收益。</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列“赔偿收入”：填报纳税人发生的资产损失，取得的相关责任人、保险公司赔偿的金额。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列“资产计税基础”：填报纳税人按税收规定计算的发生损失时资产的计税基础，含损失资产涉及的不得抵扣增值税进项税额。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列“资产损失的税收金额”：填报按税收规定允许当期税前扣除的资产损失金额，按第 5-3-4 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列“纳税调整金额”：政策性银行、商业银行、财务公司、城乡信用社、金融租赁公司以及经省级金融管理部门（金融办、局等）批准成立的小额贷款公司第 1至 15 行、第 24 至 26 行、第 28 行填报第 1-6 列金额；第 17 至 22 行、第 27 行填报第1+2-6 列金额。其他企业填报第 1-6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16 行＝第 17+23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17 行＝第 18+22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29 行＝第 1+2+5+7+9+12+14+16+24+26+27+28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6 列＝第 5-3-4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5、政策性银行、商业银行、财务公司、城乡信用社、金融租赁公司以及经省级金融管理部门（金融办、局等）批准成立的小额贷款公司：第 1 至 15 行、第 24 至 26 行、第 28 行第 7 列＝第 1-6 列金额；第 17 至 22 行、第 27 行第 7 列＝第 1+2-6 列金额。其他企业：第 7 列＝第 1-6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若第 29 行第 7 列≥0，第 29 行第 7 列＝表 A105000 第 34 行第 3 列；若第 29 行第7 列＜0，第 29 行第 7 列的绝对值＝表 A105000 第 34 行第 4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A105110</w:t>
      </w:r>
      <w:r>
        <w:rPr>
          <w:rFonts w:hint="eastAsia"/>
          <w:lang w:eastAsia="zh-CN"/>
        </w:rPr>
        <w:tab/>
      </w:r>
      <w:r>
        <w:rPr>
          <w:rFonts w:hint="eastAsia"/>
          <w:lang w:eastAsia="zh-CN"/>
        </w:rPr>
        <w:t>政策性搬迁纳税调整明细表</w:t>
      </w:r>
    </w:p>
    <w:tbl>
      <w:tblPr>
        <w:tblStyle w:val="8"/>
        <w:tblW w:w="74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16"/>
        <w:gridCol w:w="5616"/>
        <w:gridCol w:w="121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5616" w:type="dxa"/>
            <w:noWrap w:val="0"/>
            <w:vAlign w:val="center"/>
          </w:tcPr>
          <w:p>
            <w:pPr>
              <w:widowControl/>
              <w:jc w:val="center"/>
              <w:rPr>
                <w:rFonts w:ascii="宋体" w:hAnsi="宋体" w:cs="宋体"/>
                <w:kern w:val="0"/>
                <w:sz w:val="20"/>
                <w:szCs w:val="20"/>
              </w:rPr>
            </w:pPr>
            <w:r>
              <w:rPr>
                <w:rFonts w:hint="eastAsia" w:ascii="宋体" w:hAnsi="宋体" w:cs="宋体"/>
                <w:spacing w:val="500"/>
                <w:kern w:val="0"/>
                <w:sz w:val="20"/>
                <w:szCs w:val="20"/>
                <w:fitText w:val="1400" w:id="7"/>
              </w:rPr>
              <w:t>项</w:t>
            </w:r>
            <w:r>
              <w:rPr>
                <w:rFonts w:hint="eastAsia" w:ascii="宋体" w:hAnsi="宋体" w:cs="宋体"/>
                <w:spacing w:val="0"/>
                <w:kern w:val="0"/>
                <w:sz w:val="20"/>
                <w:szCs w:val="20"/>
                <w:fitText w:val="1400" w:id="7"/>
              </w:rPr>
              <w:t>目</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spacing w:val="300"/>
                <w:kern w:val="0"/>
                <w:sz w:val="20"/>
                <w:szCs w:val="20"/>
                <w:fitText w:val="1000" w:id="8"/>
              </w:rPr>
              <w:t>金</w:t>
            </w:r>
            <w:r>
              <w:rPr>
                <w:rFonts w:hint="eastAsia" w:ascii="宋体" w:hAnsi="宋体" w:cs="宋体"/>
                <w:spacing w:val="0"/>
                <w:kern w:val="0"/>
                <w:sz w:val="20"/>
                <w:szCs w:val="20"/>
                <w:fitText w:val="1000" w:id="8"/>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一、搬迁收入(2+8)</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（一）搬迁补偿收入（3+4+5+6+7）</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对被征用资产价值的补偿</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因搬迁、安置而给予的补偿</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w:t>
            </w:r>
            <w:r>
              <w:rPr>
                <w:rFonts w:hint="eastAsia" w:ascii="宋体" w:hAnsi="宋体" w:eastAsia="宋体" w:cs="宋体"/>
                <w:kern w:val="0"/>
                <w:sz w:val="20"/>
                <w:szCs w:val="20"/>
                <w:lang w:eastAsia="zh-CN"/>
              </w:rPr>
              <w:t>、</w:t>
            </w:r>
            <w:r>
              <w:rPr>
                <w:rFonts w:hint="eastAsia" w:ascii="宋体" w:hAnsi="宋体" w:cs="宋体"/>
                <w:kern w:val="0"/>
                <w:sz w:val="20"/>
                <w:szCs w:val="20"/>
              </w:rPr>
              <w:t>对停产停业形成的损失而给予的补偿</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4</w:t>
            </w:r>
            <w:r>
              <w:rPr>
                <w:rFonts w:hint="eastAsia" w:ascii="宋体" w:hAnsi="宋体" w:eastAsia="宋体" w:cs="宋体"/>
                <w:kern w:val="0"/>
                <w:sz w:val="20"/>
                <w:szCs w:val="20"/>
                <w:lang w:eastAsia="zh-CN"/>
              </w:rPr>
              <w:t>、</w:t>
            </w:r>
            <w:r>
              <w:rPr>
                <w:rFonts w:hint="eastAsia" w:ascii="宋体" w:hAnsi="宋体" w:cs="宋体"/>
                <w:kern w:val="0"/>
                <w:sz w:val="20"/>
                <w:szCs w:val="20"/>
              </w:rPr>
              <w:t>资产搬迁过程中遭到毁损而取得的保险赔款</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5</w:t>
            </w:r>
            <w:r>
              <w:rPr>
                <w:rFonts w:hint="eastAsia" w:ascii="宋体" w:hAnsi="宋体" w:eastAsia="宋体" w:cs="宋体"/>
                <w:kern w:val="0"/>
                <w:sz w:val="20"/>
                <w:szCs w:val="20"/>
                <w:lang w:eastAsia="zh-CN"/>
              </w:rPr>
              <w:t>、</w:t>
            </w:r>
            <w:r>
              <w:rPr>
                <w:rFonts w:hint="eastAsia" w:ascii="宋体" w:hAnsi="宋体" w:cs="宋体"/>
                <w:kern w:val="0"/>
                <w:sz w:val="20"/>
                <w:szCs w:val="20"/>
              </w:rPr>
              <w:t>其他补偿收入</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（二）搬迁资产处置收入</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二、搬迁支出(10+16)</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（一）搬迁费用支出(11+12+13+14+15)</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安置职工实际发生的费用</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停工期间支付给职工的工资及福利费</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3</w:t>
            </w:r>
            <w:r>
              <w:rPr>
                <w:rFonts w:hint="eastAsia" w:ascii="宋体" w:hAnsi="宋体" w:eastAsia="宋体" w:cs="宋体"/>
                <w:kern w:val="0"/>
                <w:sz w:val="20"/>
                <w:szCs w:val="20"/>
                <w:lang w:eastAsia="zh-CN"/>
              </w:rPr>
              <w:t>、</w:t>
            </w:r>
            <w:r>
              <w:rPr>
                <w:rFonts w:hint="eastAsia" w:ascii="宋体" w:hAnsi="宋体" w:cs="宋体"/>
                <w:kern w:val="0"/>
                <w:sz w:val="20"/>
                <w:szCs w:val="20"/>
              </w:rPr>
              <w:t>临时存放搬迁资产而发生的费用</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4</w:t>
            </w:r>
            <w:r>
              <w:rPr>
                <w:rFonts w:hint="eastAsia" w:ascii="宋体" w:hAnsi="宋体" w:eastAsia="宋体" w:cs="宋体"/>
                <w:kern w:val="0"/>
                <w:sz w:val="20"/>
                <w:szCs w:val="20"/>
                <w:lang w:eastAsia="zh-CN"/>
              </w:rPr>
              <w:t>、</w:t>
            </w:r>
            <w:r>
              <w:rPr>
                <w:rFonts w:hint="eastAsia" w:ascii="宋体" w:hAnsi="宋体" w:cs="宋体"/>
                <w:kern w:val="0"/>
                <w:sz w:val="20"/>
                <w:szCs w:val="20"/>
              </w:rPr>
              <w:t>各类资产搬迁安装费用</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5</w:t>
            </w:r>
            <w:r>
              <w:rPr>
                <w:rFonts w:hint="eastAsia" w:ascii="宋体" w:hAnsi="宋体" w:eastAsia="宋体" w:cs="宋体"/>
                <w:kern w:val="0"/>
                <w:sz w:val="20"/>
                <w:szCs w:val="20"/>
                <w:lang w:eastAsia="zh-CN"/>
              </w:rPr>
              <w:t>、</w:t>
            </w:r>
            <w:r>
              <w:rPr>
                <w:rFonts w:hint="eastAsia" w:ascii="宋体" w:hAnsi="宋体" w:cs="宋体"/>
                <w:kern w:val="0"/>
                <w:sz w:val="20"/>
                <w:szCs w:val="20"/>
              </w:rPr>
              <w:t>其他与搬迁相关的费用</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（二）搬迁资产处置支出</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三、搬迁所得或损失（1-9）</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四、应计入本年应纳税所得额的搬迁所得或损失（19+20+21）</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其中：搬迁所得</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搬迁损失一次性扣除</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搬迁损失分期扣除</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五、计入当期损益的搬迁收益或损失</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六、以前年度搬迁损失当期扣除金额</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561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七、纳税调整金额（18-22-23）</w:t>
            </w:r>
          </w:p>
        </w:tc>
        <w:tc>
          <w:tcPr>
            <w:tcW w:w="121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bl>
    <w:p>
      <w:pPr>
        <w:keepNext w:val="0"/>
        <w:keepLines w:val="0"/>
        <w:pageBreakBefore w:val="0"/>
        <w:widowControl w:val="0"/>
        <w:kinsoku/>
        <w:wordWrap/>
        <w:overflowPunct/>
        <w:topLinePunct w:val="0"/>
        <w:autoSpaceDE/>
        <w:autoSpaceDN/>
        <w:bidi w:val="0"/>
        <w:adjustRightInd/>
        <w:snapToGrid/>
        <w:jc w:val="both"/>
        <w:textAlignment w:val="auto"/>
        <w:rPr>
          <w:rFonts w:hint="eastAsia" w:ascii="微软雅黑" w:hAnsi="微软雅黑" w:eastAsia="微软雅黑" w:cs="微软雅黑"/>
          <w:b/>
          <w:bCs/>
          <w:sz w:val="36"/>
          <w:szCs w:val="36"/>
          <w:lang w:eastAsia="zh-CN"/>
        </w:rPr>
      </w:pPr>
    </w:p>
    <w:p>
      <w:pPr>
        <w:pStyle w:val="4"/>
        <w:bidi w:val="0"/>
        <w:rPr>
          <w:rFonts w:hint="eastAsia"/>
          <w:lang w:eastAsia="zh-CN"/>
        </w:rPr>
      </w:pPr>
      <w:r>
        <w:rPr>
          <w:rFonts w:hint="eastAsia"/>
          <w:lang w:eastAsia="zh-CN"/>
        </w:rPr>
        <w:t>A105110</w:t>
      </w:r>
      <w:r>
        <w:rPr>
          <w:rFonts w:hint="eastAsia"/>
          <w:lang w:eastAsia="zh-CN"/>
        </w:rPr>
        <w:tab/>
      </w:r>
      <w:r>
        <w:rPr>
          <w:rFonts w:hint="eastAsia"/>
          <w:lang w:eastAsia="zh-CN"/>
        </w:rPr>
        <w:t>《政策性搬迁纳税调整明细表》填报说明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政策性搬迁纳税调整项目的纳税人在完成搬迁年度及以后进行损失分期扣除的年度填报。纳税人根据税法、《国家税务总局关于发布〈企业政策性搬迁所得税管理办法〉的公告》（国家税务总局公告2012年第40号）、《国家税务总局关于企业政策性搬迁所得税有关问题的公告》（国家税务总局公告2013年第11号）等相关规定，以及国家统一企业会计制度，填报企业政策性搬迁项目的相关会计处理、税收规定及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本表第1行“一、搬迁收入”至第21行“搬迁损失分期扣除”的金额，按照税收规定确认的政策性搬迁清算累计数填报。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1、第1行“一、搬迁收入”：填报第2+8行的合计金额。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2、第2行“（一）搬迁补偿收入”：填报按税收规定确认的，纳税人从本企业以外取得的搬迁补偿收入金额，此行为第3行至第7行的合计金额。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3、第3行“1、对被征用资产价值的补偿”：填报按税收规定确认的，纳税人被征用资产价值补偿收入累计金额。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4、第4行“2、因搬迁、安置而给予的补偿”：填报按税收规定确认的，纳税人因搬迁、安置而取得的补偿收入累计金额。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5、第5行“3、对停产停业形成的损失而给予的补偿”：填报按税收规定确认的，纳税人停产停业形成损失而取得的补偿收入累计金额。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6、第6行“4、资产搬迁过程中遭到毁损而取得的保险赔款”：填报按税收规定确认，纳税人资产搬迁过程中遭到毁损而取得的保险赔款收入累计金额。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7、第7行“5、其他补偿收入”：填报按税收规定确认，纳税人其他补偿收入累计金额。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8、第8行“（二）搬迁资产处置收入”：填报按税收规定确认，纳税人由于搬迁而处置各类资产所取得的收入累计金额。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9、第9行“二、搬迁支出”：填报第10+16行的合计金额。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10、第10行“（一）搬迁费用支出”：填报按税收规定确认，纳税人搬迁过程中发生的费用支出累计金额，为第11行至第15行的合计金额。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11、第11行“1、安置职工实际发生的费用”：填报按税收规定确认，纳税人安置职工实际发生费用支出的累计金额。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12、第12行“2、停工期间支付给职工的工资及福利费”：填报按税收规定确认，纳税人因停工支付给职工的工资及福利费支出累计金额。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13、第13行“3、临时存放搬迁资产而发生的费用”：填报按税收规定确认，纳税人临时存放搬迁资产发生的费用支出累计金额。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14、第14行“4、各类资产搬迁安装费用”：填报按税收规定确认，纳税人各类资产搬迁安装费用支出累计金额。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15、第15行“5、其他与搬迁相关的费用”：填报按税收规定确认，纳税人其他与搬迁相关的费用支出累计金额。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16行“（二）搬迁资产处置支出”：填报按税收规定确认的，纳税人搬迁资产处置支出累计金额。符合《国家税务总局关于企业政策性搬迁所得税有关问题的公告》（国家税务总局公告2013年第11号）规定的资产购置支出，填报在本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17、第17行“三、搬迁所得或损失”：填报政策性搬迁所得或损失，填报第1-9行的余额，损失以“-”号填列。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18、第18行“四、应计入本年应纳税所得额的搬迁所得或损失”：填报政策性搬迁所得或损失按照税收规定计入本年应纳税所得额的金额，填报第19行至第21行的合计金额，损失以“-”号填列。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19、第19行“其中：搬迁所得”：填报按税法相关规定，搬迁完成年度政策性搬迁所得的金额。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20、第20行“搬迁损失一次性扣除”：由选择一次性扣除搬迁损失的纳税人填报，填报搬迁完成年度按照税收规定计算的搬迁损失金额，损失以“-”号填列。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21、第21行“搬迁损失分期扣除”：由选择分期扣除搬迁损失的纳税人填报，填报搬迁完成年度按照税收规定计算的搬迁损失在本年扣除的金额，损失以“-”号填列。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22、第22行“五、计入当期损益的搬迁收益或损失”：填报政策性搬迁项目会计核算计入当期损益的金额，损失以“-”号填列。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23、第23行“六、以前年度搬迁损失当期扣除金额”：以前年度完成搬迁形成的损失，按照税收规定在当期扣除的金额。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24、第24行“七、纳税调整金额”：填报第18-22-23行的余额。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1、第1行＝第2+8行。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2、第2行＝第3+4+…+7行。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3、第9行＝第10+16行。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4、第10行＝第11+12+…+15行。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5、第17行＝第1-9行。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6、第18行＝第19+20+21行。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7、第24行＝第18-22-23行。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若第24行≥0，第24行＝表A105000第38行第3列；若第24行＜0，第24行的绝对值＝表A105000第38行第4列。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A105120</w:t>
      </w:r>
      <w:r>
        <w:rPr>
          <w:rFonts w:hint="eastAsia"/>
          <w:lang w:eastAsia="zh-CN"/>
        </w:rPr>
        <w:tab/>
      </w:r>
      <w:r>
        <w:rPr>
          <w:rFonts w:hint="eastAsia"/>
          <w:lang w:eastAsia="zh-CN"/>
        </w:rPr>
        <w:t>贷款损失准备金及纳税调整明细表</w:t>
      </w:r>
    </w:p>
    <w:tbl>
      <w:tblPr>
        <w:tblStyle w:val="8"/>
        <w:tblW w:w="1096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01"/>
        <w:gridCol w:w="2774"/>
        <w:gridCol w:w="451"/>
        <w:gridCol w:w="451"/>
        <w:gridCol w:w="602"/>
        <w:gridCol w:w="601"/>
        <w:gridCol w:w="902"/>
        <w:gridCol w:w="903"/>
        <w:gridCol w:w="439"/>
        <w:gridCol w:w="1165"/>
        <w:gridCol w:w="1002"/>
        <w:gridCol w:w="802"/>
        <w:gridCol w:w="571"/>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vMerge w:val="restart"/>
            <w:tcBorders>
              <w:bottom w:val="single" w:color="000000" w:sz="6" w:space="0"/>
              <w:right w:val="single" w:color="000000" w:sz="8" w:space="0"/>
            </w:tcBorders>
            <w:noWrap w:val="0"/>
            <w:vAlign w:val="top"/>
          </w:tcPr>
          <w:p>
            <w:pPr>
              <w:pStyle w:val="11"/>
              <w:rPr>
                <w:b/>
                <w:sz w:val="20"/>
              </w:rPr>
            </w:pPr>
          </w:p>
          <w:p>
            <w:pPr>
              <w:pStyle w:val="11"/>
              <w:rPr>
                <w:b/>
                <w:sz w:val="20"/>
              </w:rPr>
            </w:pPr>
          </w:p>
          <w:p>
            <w:pPr>
              <w:pStyle w:val="11"/>
              <w:rPr>
                <w:b/>
                <w:sz w:val="20"/>
              </w:rPr>
            </w:pPr>
          </w:p>
          <w:p>
            <w:pPr>
              <w:pStyle w:val="11"/>
              <w:spacing w:before="3"/>
              <w:rPr>
                <w:b/>
                <w:sz w:val="15"/>
              </w:rPr>
            </w:pPr>
          </w:p>
          <w:p>
            <w:pPr>
              <w:pStyle w:val="11"/>
              <w:spacing w:before="1" w:line="242" w:lineRule="auto"/>
              <w:ind w:left="112" w:right="87"/>
              <w:rPr>
                <w:sz w:val="20"/>
              </w:rPr>
            </w:pPr>
            <w:r>
              <w:rPr>
                <w:sz w:val="20"/>
              </w:rPr>
              <w:t>行次</w:t>
            </w:r>
          </w:p>
        </w:tc>
        <w:tc>
          <w:tcPr>
            <w:tcW w:w="2774" w:type="dxa"/>
            <w:vMerge w:val="restart"/>
            <w:tcBorders>
              <w:left w:val="single" w:color="000000" w:sz="8" w:space="0"/>
              <w:bottom w:val="single" w:color="000000" w:sz="6" w:space="0"/>
              <w:right w:val="single" w:color="000000" w:sz="8" w:space="0"/>
            </w:tcBorders>
            <w:noWrap w:val="0"/>
            <w:vAlign w:val="top"/>
          </w:tcPr>
          <w:p>
            <w:pPr>
              <w:pStyle w:val="11"/>
              <w:rPr>
                <w:b/>
                <w:sz w:val="20"/>
              </w:rPr>
            </w:pPr>
          </w:p>
          <w:p>
            <w:pPr>
              <w:pStyle w:val="11"/>
              <w:rPr>
                <w:b/>
                <w:sz w:val="20"/>
              </w:rPr>
            </w:pPr>
          </w:p>
          <w:p>
            <w:pPr>
              <w:pStyle w:val="11"/>
              <w:rPr>
                <w:b/>
                <w:sz w:val="20"/>
              </w:rPr>
            </w:pPr>
          </w:p>
          <w:p>
            <w:pPr>
              <w:pStyle w:val="11"/>
              <w:spacing w:before="5"/>
              <w:rPr>
                <w:b/>
                <w:sz w:val="25"/>
              </w:rPr>
            </w:pPr>
          </w:p>
          <w:p>
            <w:pPr>
              <w:pStyle w:val="11"/>
              <w:ind w:left="1396" w:right="1370"/>
              <w:jc w:val="center"/>
              <w:rPr>
                <w:sz w:val="20"/>
              </w:rPr>
            </w:pPr>
            <w:r>
              <w:rPr>
                <w:sz w:val="20"/>
              </w:rPr>
              <w:t>项目</w:t>
            </w:r>
          </w:p>
        </w:tc>
        <w:tc>
          <w:tcPr>
            <w:tcW w:w="2105" w:type="dxa"/>
            <w:gridSpan w:val="4"/>
            <w:tcBorders>
              <w:left w:val="single" w:color="000000" w:sz="8" w:space="0"/>
              <w:bottom w:val="single" w:color="000000" w:sz="6" w:space="0"/>
              <w:right w:val="single" w:color="000000" w:sz="8" w:space="0"/>
            </w:tcBorders>
            <w:noWrap w:val="0"/>
            <w:vAlign w:val="top"/>
          </w:tcPr>
          <w:p>
            <w:pPr>
              <w:pStyle w:val="11"/>
              <w:spacing w:before="40"/>
              <w:ind w:left="1072" w:right="1044"/>
              <w:jc w:val="center"/>
              <w:rPr>
                <w:sz w:val="20"/>
              </w:rPr>
            </w:pPr>
            <w:r>
              <w:rPr>
                <w:sz w:val="20"/>
              </w:rPr>
              <w:t>账载金额</w:t>
            </w:r>
          </w:p>
        </w:tc>
        <w:tc>
          <w:tcPr>
            <w:tcW w:w="5213" w:type="dxa"/>
            <w:gridSpan w:val="6"/>
            <w:tcBorders>
              <w:left w:val="single" w:color="000000" w:sz="8" w:space="0"/>
              <w:bottom w:val="single" w:color="000000" w:sz="6" w:space="0"/>
              <w:right w:val="single" w:color="000000" w:sz="8" w:space="0"/>
            </w:tcBorders>
            <w:noWrap w:val="0"/>
            <w:vAlign w:val="top"/>
          </w:tcPr>
          <w:p>
            <w:pPr>
              <w:pStyle w:val="11"/>
              <w:spacing w:before="40"/>
              <w:ind w:left="3268" w:right="3243"/>
              <w:jc w:val="center"/>
              <w:rPr>
                <w:sz w:val="20"/>
              </w:rPr>
            </w:pPr>
            <w:r>
              <w:rPr>
                <w:sz w:val="20"/>
              </w:rPr>
              <w:t>税收金额</w:t>
            </w:r>
          </w:p>
        </w:tc>
        <w:tc>
          <w:tcPr>
            <w:tcW w:w="571" w:type="dxa"/>
            <w:vMerge w:val="restart"/>
            <w:tcBorders>
              <w:left w:val="single" w:color="000000" w:sz="8" w:space="0"/>
              <w:bottom w:val="single" w:color="000000" w:sz="6" w:space="0"/>
            </w:tcBorders>
            <w:noWrap w:val="0"/>
            <w:vAlign w:val="top"/>
          </w:tcPr>
          <w:p>
            <w:pPr>
              <w:pStyle w:val="11"/>
              <w:rPr>
                <w:b/>
                <w:sz w:val="20"/>
              </w:rPr>
            </w:pPr>
          </w:p>
          <w:p>
            <w:pPr>
              <w:pStyle w:val="11"/>
              <w:spacing w:before="1"/>
              <w:rPr>
                <w:b/>
                <w:sz w:val="14"/>
              </w:rPr>
            </w:pPr>
          </w:p>
          <w:p>
            <w:pPr>
              <w:pStyle w:val="11"/>
              <w:spacing w:line="242" w:lineRule="auto"/>
              <w:ind w:left="206" w:right="175"/>
              <w:jc w:val="both"/>
              <w:rPr>
                <w:sz w:val="20"/>
              </w:rPr>
            </w:pPr>
            <w:r>
              <w:rPr>
                <w:sz w:val="20"/>
              </w:rPr>
              <w:t>纳税调整金额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97" w:hRule="atLeast"/>
          <w:jc w:val="center"/>
        </w:trPr>
        <w:tc>
          <w:tcPr>
            <w:tcW w:w="301" w:type="dxa"/>
            <w:vMerge w:val="continue"/>
            <w:tcBorders>
              <w:top w:val="nil"/>
              <w:bottom w:val="single" w:color="000000" w:sz="6" w:space="0"/>
              <w:right w:val="single" w:color="000000" w:sz="8" w:space="0"/>
            </w:tcBorders>
            <w:noWrap w:val="0"/>
            <w:vAlign w:val="top"/>
          </w:tcPr>
          <w:p>
            <w:pPr>
              <w:rPr>
                <w:sz w:val="2"/>
                <w:szCs w:val="2"/>
              </w:rPr>
            </w:pPr>
          </w:p>
        </w:tc>
        <w:tc>
          <w:tcPr>
            <w:tcW w:w="2774" w:type="dxa"/>
            <w:vMerge w:val="continue"/>
            <w:tcBorders>
              <w:top w:val="nil"/>
              <w:left w:val="single" w:color="000000" w:sz="8" w:space="0"/>
              <w:bottom w:val="single" w:color="000000" w:sz="6" w:space="0"/>
              <w:right w:val="single" w:color="000000" w:sz="8" w:space="0"/>
            </w:tcBorders>
            <w:noWrap w:val="0"/>
            <w:vAlign w:val="top"/>
          </w:tcPr>
          <w:p>
            <w:pPr>
              <w:rPr>
                <w:sz w:val="2"/>
                <w:szCs w:val="2"/>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2" w:line="242" w:lineRule="auto"/>
              <w:ind w:left="123" w:right="94"/>
              <w:jc w:val="both"/>
              <w:rPr>
                <w:sz w:val="20"/>
              </w:rPr>
            </w:pPr>
            <w:r>
              <w:rPr>
                <w:sz w:val="20"/>
              </w:rPr>
              <w:t>上年末贷款资产余</w:t>
            </w:r>
          </w:p>
          <w:p>
            <w:pPr>
              <w:pStyle w:val="11"/>
              <w:spacing w:before="2" w:line="238" w:lineRule="exact"/>
              <w:ind w:left="224"/>
              <w:rPr>
                <w:sz w:val="20"/>
              </w:rPr>
            </w:pPr>
            <w:r>
              <w:rPr>
                <w:w w:val="99"/>
                <w:sz w:val="20"/>
              </w:rPr>
              <w:t>额</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2" w:line="242" w:lineRule="auto"/>
              <w:ind w:left="123" w:right="94"/>
              <w:jc w:val="both"/>
              <w:rPr>
                <w:sz w:val="20"/>
              </w:rPr>
            </w:pPr>
            <w:r>
              <w:rPr>
                <w:sz w:val="20"/>
              </w:rPr>
              <w:t>本年末贷款资产余</w:t>
            </w:r>
          </w:p>
          <w:p>
            <w:pPr>
              <w:pStyle w:val="11"/>
              <w:spacing w:before="2" w:line="238" w:lineRule="exact"/>
              <w:ind w:left="222"/>
              <w:rPr>
                <w:sz w:val="20"/>
              </w:rPr>
            </w:pPr>
            <w:r>
              <w:rPr>
                <w:w w:val="99"/>
                <w:sz w:val="20"/>
              </w:rPr>
              <w:t>额</w:t>
            </w: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129" w:line="242" w:lineRule="auto"/>
              <w:ind w:left="129" w:right="99"/>
              <w:jc w:val="both"/>
              <w:rPr>
                <w:sz w:val="20"/>
              </w:rPr>
            </w:pPr>
            <w:r>
              <w:rPr>
                <w:sz w:val="20"/>
              </w:rPr>
              <w:t>上年末贷款损失准备金余额</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129" w:line="242" w:lineRule="auto"/>
              <w:ind w:left="128" w:right="99"/>
              <w:jc w:val="both"/>
              <w:rPr>
                <w:sz w:val="20"/>
              </w:rPr>
            </w:pPr>
            <w:r>
              <w:rPr>
                <w:sz w:val="20"/>
              </w:rPr>
              <w:t>本年末贷款损失准备金余额</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2" w:line="242" w:lineRule="auto"/>
              <w:ind w:left="142" w:right="113"/>
              <w:jc w:val="both"/>
              <w:rPr>
                <w:sz w:val="20"/>
              </w:rPr>
            </w:pPr>
            <w:r>
              <w:rPr>
                <w:sz w:val="20"/>
              </w:rPr>
              <w:t>上年末准予提取贷款损失准备金的贷款资产余</w:t>
            </w:r>
          </w:p>
          <w:p>
            <w:pPr>
              <w:pStyle w:val="11"/>
              <w:spacing w:before="2" w:line="238" w:lineRule="exact"/>
              <w:ind w:left="29"/>
              <w:jc w:val="center"/>
              <w:rPr>
                <w:sz w:val="20"/>
              </w:rPr>
            </w:pPr>
            <w:r>
              <w:rPr>
                <w:w w:val="99"/>
                <w:sz w:val="20"/>
              </w:rPr>
              <w:t>额</w:t>
            </w: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2" w:line="242" w:lineRule="auto"/>
              <w:ind w:left="143" w:right="112"/>
              <w:jc w:val="both"/>
              <w:rPr>
                <w:sz w:val="20"/>
              </w:rPr>
            </w:pPr>
            <w:r>
              <w:rPr>
                <w:sz w:val="20"/>
              </w:rPr>
              <w:t>本年末准予提取贷款损失准备金的贷款资产余</w:t>
            </w:r>
          </w:p>
          <w:p>
            <w:pPr>
              <w:pStyle w:val="11"/>
              <w:spacing w:before="2" w:line="238" w:lineRule="exact"/>
              <w:ind w:left="26"/>
              <w:jc w:val="center"/>
              <w:rPr>
                <w:sz w:val="20"/>
              </w:rPr>
            </w:pPr>
            <w:r>
              <w:rPr>
                <w:w w:val="99"/>
                <w:sz w:val="20"/>
              </w:rPr>
              <w:t>额</w:t>
            </w: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rPr>
                <w:b/>
                <w:sz w:val="20"/>
              </w:rPr>
            </w:pPr>
          </w:p>
          <w:p>
            <w:pPr>
              <w:pStyle w:val="11"/>
              <w:spacing w:before="132" w:line="242" w:lineRule="auto"/>
              <w:ind w:left="115" w:right="86"/>
              <w:rPr>
                <w:sz w:val="20"/>
              </w:rPr>
            </w:pPr>
            <w:r>
              <w:rPr>
                <w:sz w:val="20"/>
              </w:rPr>
              <w:t>计提比例</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2" w:line="242" w:lineRule="auto"/>
              <w:ind w:left="127" w:right="98"/>
              <w:jc w:val="both"/>
              <w:rPr>
                <w:sz w:val="20"/>
              </w:rPr>
            </w:pPr>
            <w:r>
              <w:rPr>
                <w:spacing w:val="-3"/>
                <w:sz w:val="20"/>
              </w:rPr>
              <w:t>按本年末准予提取贷款损失准备金的贷款资产余</w:t>
            </w:r>
            <w:r>
              <w:rPr>
                <w:spacing w:val="-3"/>
                <w:w w:val="95"/>
                <w:sz w:val="20"/>
              </w:rPr>
              <w:t>额与计提比例计</w:t>
            </w:r>
          </w:p>
          <w:p>
            <w:pPr>
              <w:pStyle w:val="11"/>
              <w:spacing w:before="2" w:line="238" w:lineRule="exact"/>
              <w:ind w:left="227"/>
              <w:rPr>
                <w:sz w:val="20"/>
              </w:rPr>
            </w:pPr>
            <w:r>
              <w:rPr>
                <w:w w:val="95"/>
                <w:sz w:val="20"/>
              </w:rPr>
              <w:t>算的准备金额</w:t>
            </w: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129" w:line="242" w:lineRule="auto"/>
              <w:ind w:left="113" w:right="82"/>
              <w:jc w:val="center"/>
              <w:rPr>
                <w:sz w:val="20"/>
              </w:rPr>
            </w:pPr>
            <w:r>
              <w:rPr>
                <w:sz w:val="20"/>
              </w:rPr>
              <w:t>截至上年末已在税前扣除的贷款损失准备金的余额</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129" w:line="242" w:lineRule="auto"/>
              <w:ind w:left="172" w:right="141"/>
              <w:jc w:val="both"/>
              <w:rPr>
                <w:sz w:val="20"/>
              </w:rPr>
            </w:pPr>
            <w:r>
              <w:rPr>
                <w:sz w:val="20"/>
              </w:rPr>
              <w:t>准予当年税前扣除的贷款损失准备金</w:t>
            </w:r>
          </w:p>
        </w:tc>
        <w:tc>
          <w:tcPr>
            <w:tcW w:w="571" w:type="dxa"/>
            <w:vMerge w:val="continue"/>
            <w:tcBorders>
              <w:top w:val="nil"/>
              <w:left w:val="single" w:color="000000" w:sz="8" w:space="0"/>
              <w:bottom w:val="single" w:color="000000" w:sz="6" w:space="0"/>
            </w:tcBorders>
            <w:noWrap w:val="0"/>
            <w:vAlign w:val="top"/>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8" w:hRule="atLeast"/>
          <w:jc w:val="center"/>
        </w:trPr>
        <w:tc>
          <w:tcPr>
            <w:tcW w:w="301" w:type="dxa"/>
            <w:vMerge w:val="continue"/>
            <w:tcBorders>
              <w:top w:val="nil"/>
              <w:bottom w:val="single" w:color="000000" w:sz="6" w:space="0"/>
              <w:right w:val="single" w:color="000000" w:sz="8" w:space="0"/>
            </w:tcBorders>
            <w:noWrap w:val="0"/>
            <w:vAlign w:val="top"/>
          </w:tcPr>
          <w:p>
            <w:pPr>
              <w:rPr>
                <w:sz w:val="2"/>
                <w:szCs w:val="2"/>
              </w:rPr>
            </w:pPr>
          </w:p>
        </w:tc>
        <w:tc>
          <w:tcPr>
            <w:tcW w:w="2774" w:type="dxa"/>
            <w:vMerge w:val="continue"/>
            <w:tcBorders>
              <w:top w:val="nil"/>
              <w:left w:val="single" w:color="000000" w:sz="8" w:space="0"/>
              <w:bottom w:val="single" w:color="000000" w:sz="6" w:space="0"/>
              <w:right w:val="single" w:color="000000" w:sz="8" w:space="0"/>
            </w:tcBorders>
            <w:noWrap w:val="0"/>
            <w:vAlign w:val="top"/>
          </w:tcPr>
          <w:p>
            <w:pPr>
              <w:rPr>
                <w:sz w:val="2"/>
                <w:szCs w:val="2"/>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5"/>
              <w:jc w:val="center"/>
              <w:rPr>
                <w:sz w:val="20"/>
              </w:rPr>
            </w:pPr>
            <w:r>
              <w:rPr>
                <w:w w:val="99"/>
                <w:sz w:val="20"/>
              </w:rPr>
              <w:t>1</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6"/>
              <w:jc w:val="center"/>
              <w:rPr>
                <w:sz w:val="20"/>
              </w:rPr>
            </w:pPr>
            <w:r>
              <w:rPr>
                <w:w w:val="99"/>
                <w:sz w:val="20"/>
              </w:rPr>
              <w:t>2</w:t>
            </w: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6"/>
              <w:jc w:val="center"/>
              <w:rPr>
                <w:sz w:val="20"/>
              </w:rPr>
            </w:pPr>
            <w:r>
              <w:rPr>
                <w:w w:val="99"/>
                <w:sz w:val="20"/>
              </w:rPr>
              <w:t>3</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5"/>
              <w:jc w:val="center"/>
              <w:rPr>
                <w:sz w:val="20"/>
              </w:rPr>
            </w:pPr>
            <w:r>
              <w:rPr>
                <w:w w:val="99"/>
                <w:sz w:val="20"/>
              </w:rPr>
              <w:t>4</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6"/>
              <w:jc w:val="center"/>
              <w:rPr>
                <w:sz w:val="20"/>
              </w:rPr>
            </w:pPr>
            <w:r>
              <w:rPr>
                <w:w w:val="99"/>
                <w:sz w:val="20"/>
              </w:rPr>
              <w:t>5</w:t>
            </w: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7"/>
              <w:jc w:val="center"/>
              <w:rPr>
                <w:sz w:val="20"/>
              </w:rPr>
            </w:pPr>
            <w:r>
              <w:rPr>
                <w:w w:val="99"/>
                <w:sz w:val="20"/>
              </w:rPr>
              <w:t>6</w:t>
            </w: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5"/>
              <w:jc w:val="center"/>
              <w:rPr>
                <w:sz w:val="20"/>
              </w:rPr>
            </w:pPr>
            <w:r>
              <w:rPr>
                <w:w w:val="99"/>
                <w:sz w:val="20"/>
              </w:rPr>
              <w:t>7</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376"/>
              <w:rPr>
                <w:sz w:val="20"/>
              </w:rPr>
            </w:pPr>
            <w:r>
              <w:rPr>
                <w:sz w:val="20"/>
              </w:rPr>
              <w:t>8（6×7）</w:t>
            </w: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3"/>
              <w:rPr>
                <w:b/>
                <w:sz w:val="20"/>
              </w:rPr>
            </w:pPr>
          </w:p>
          <w:p>
            <w:pPr>
              <w:pStyle w:val="11"/>
              <w:ind w:left="27"/>
              <w:jc w:val="center"/>
              <w:rPr>
                <w:sz w:val="20"/>
              </w:rPr>
            </w:pPr>
            <w:r>
              <w:rPr>
                <w:w w:val="99"/>
                <w:sz w:val="20"/>
              </w:rPr>
              <w:t>9</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line="242" w:lineRule="auto"/>
              <w:ind w:left="111" w:right="101"/>
              <w:jc w:val="center"/>
              <w:rPr>
                <w:sz w:val="20"/>
              </w:rPr>
            </w:pPr>
            <w:r>
              <w:rPr>
                <w:sz w:val="20"/>
              </w:rPr>
              <w:t>10（4</w:t>
            </w:r>
            <w:r>
              <w:rPr>
                <w:spacing w:val="-35"/>
                <w:sz w:val="20"/>
              </w:rPr>
              <w:t xml:space="preserve"> 与 </w:t>
            </w:r>
            <w:r>
              <w:rPr>
                <w:spacing w:val="-14"/>
                <w:sz w:val="20"/>
              </w:rPr>
              <w:t xml:space="preserve">8 </w:t>
            </w:r>
            <w:r>
              <w:rPr>
                <w:sz w:val="20"/>
              </w:rPr>
              <w:t>的孰小值</w:t>
            </w:r>
          </w:p>
          <w:p>
            <w:pPr>
              <w:pStyle w:val="11"/>
              <w:spacing w:before="1" w:line="239" w:lineRule="exact"/>
              <w:ind w:left="111" w:right="85"/>
              <w:jc w:val="center"/>
              <w:rPr>
                <w:sz w:val="20"/>
              </w:rPr>
            </w:pPr>
            <w:r>
              <w:rPr>
                <w:sz w:val="20"/>
              </w:rPr>
              <w:t>-9）</w:t>
            </w:r>
          </w:p>
        </w:tc>
        <w:tc>
          <w:tcPr>
            <w:tcW w:w="571" w:type="dxa"/>
            <w:tcBorders>
              <w:top w:val="single" w:color="000000" w:sz="6" w:space="0"/>
              <w:left w:val="single" w:color="000000" w:sz="8" w:space="0"/>
              <w:bottom w:val="single" w:color="000000" w:sz="6" w:space="0"/>
            </w:tcBorders>
            <w:noWrap w:val="0"/>
            <w:vAlign w:val="top"/>
          </w:tcPr>
          <w:p>
            <w:pPr>
              <w:pStyle w:val="11"/>
              <w:ind w:left="135" w:right="102"/>
              <w:jc w:val="center"/>
              <w:rPr>
                <w:sz w:val="20"/>
              </w:rPr>
            </w:pPr>
            <w:r>
              <w:rPr>
                <w:sz w:val="20"/>
              </w:rPr>
              <w:t>11</w:t>
            </w:r>
          </w:p>
          <w:p>
            <w:pPr>
              <w:pStyle w:val="11"/>
              <w:spacing w:before="3"/>
              <w:ind w:left="135" w:right="102"/>
              <w:jc w:val="center"/>
              <w:rPr>
                <w:sz w:val="20"/>
              </w:rPr>
            </w:pPr>
            <w:r>
              <w:rPr>
                <w:sz w:val="20"/>
              </w:rPr>
              <w:t>（4-3</w:t>
            </w:r>
          </w:p>
          <w:p>
            <w:pPr>
              <w:pStyle w:val="11"/>
              <w:spacing w:before="3" w:line="239" w:lineRule="exact"/>
              <w:ind w:left="133" w:right="104"/>
              <w:jc w:val="center"/>
              <w:rPr>
                <w:sz w:val="20"/>
              </w:rPr>
            </w:pPr>
            <w:r>
              <w:rPr>
                <w:sz w:val="20"/>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0"/>
              <w:ind w:left="24"/>
              <w:jc w:val="center"/>
              <w:rPr>
                <w:sz w:val="20"/>
              </w:rPr>
            </w:pPr>
            <w:r>
              <w:rPr>
                <w:w w:val="99"/>
                <w:sz w:val="20"/>
              </w:rPr>
              <w:t>1</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111"/>
              <w:rPr>
                <w:sz w:val="20"/>
              </w:rPr>
            </w:pPr>
            <w:r>
              <w:rPr>
                <w:sz w:val="20"/>
              </w:rPr>
              <w:t>一、金融企业（2+3)</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25"/>
              <w:jc w:val="center"/>
              <w:rPr>
                <w:sz w:val="20"/>
              </w:rPr>
            </w:pPr>
            <w:r>
              <w:rPr>
                <w:w w:val="99"/>
                <w:sz w:val="20"/>
              </w:rPr>
              <w:t>*</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571" w:type="dxa"/>
            <w:tcBorders>
              <w:top w:val="single" w:color="000000" w:sz="6" w:space="0"/>
              <w:left w:val="single" w:color="000000" w:sz="8"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0"/>
              <w:ind w:left="24"/>
              <w:jc w:val="center"/>
              <w:rPr>
                <w:sz w:val="20"/>
              </w:rPr>
            </w:pPr>
            <w:r>
              <w:rPr>
                <w:w w:val="99"/>
                <w:sz w:val="20"/>
              </w:rPr>
              <w:t>2</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512"/>
              <w:rPr>
                <w:sz w:val="20"/>
              </w:rPr>
            </w:pPr>
            <w:r>
              <w:rPr>
                <w:sz w:val="20"/>
              </w:rPr>
              <w:t>（一）贷款损失准备金</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26"/>
              <w:jc w:val="center"/>
              <w:rPr>
                <w:sz w:val="20"/>
              </w:rPr>
            </w:pPr>
            <w:r>
              <w:rPr>
                <w:w w:val="99"/>
                <w:sz w:val="20"/>
              </w:rPr>
              <w:t>*</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25"/>
              <w:jc w:val="center"/>
              <w:rPr>
                <w:sz w:val="20"/>
              </w:rPr>
            </w:pPr>
            <w:r>
              <w:rPr>
                <w:w w:val="99"/>
                <w:sz w:val="20"/>
              </w:rPr>
              <w:t>*</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216"/>
              <w:rPr>
                <w:sz w:val="20"/>
              </w:rPr>
            </w:pPr>
            <w:r>
              <w:rPr>
                <w:sz w:val="20"/>
              </w:rPr>
              <w:t>1%</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27"/>
              <w:jc w:val="center"/>
              <w:rPr>
                <w:sz w:val="20"/>
              </w:rPr>
            </w:pPr>
            <w:r>
              <w:rPr>
                <w:w w:val="99"/>
                <w:sz w:val="20"/>
              </w:rPr>
              <w:t>*</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0"/>
              <w:ind w:left="30"/>
              <w:jc w:val="center"/>
              <w:rPr>
                <w:sz w:val="20"/>
              </w:rPr>
            </w:pPr>
            <w:r>
              <w:rPr>
                <w:w w:val="99"/>
                <w:sz w:val="20"/>
              </w:rPr>
              <w:t>*</w:t>
            </w:r>
          </w:p>
        </w:tc>
        <w:tc>
          <w:tcPr>
            <w:tcW w:w="571" w:type="dxa"/>
            <w:tcBorders>
              <w:top w:val="single" w:color="000000" w:sz="6" w:space="0"/>
              <w:left w:val="single" w:color="000000" w:sz="8" w:space="0"/>
              <w:bottom w:val="single" w:color="000000" w:sz="6" w:space="0"/>
            </w:tcBorders>
            <w:noWrap w:val="0"/>
            <w:vAlign w:val="top"/>
          </w:tcPr>
          <w:p>
            <w:pPr>
              <w:pStyle w:val="11"/>
              <w:spacing w:before="40"/>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9"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1"/>
              <w:ind w:left="24"/>
              <w:jc w:val="center"/>
              <w:rPr>
                <w:sz w:val="20"/>
              </w:rPr>
            </w:pPr>
            <w:r>
              <w:rPr>
                <w:w w:val="99"/>
                <w:sz w:val="20"/>
              </w:rPr>
              <w:t>3</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512"/>
              <w:rPr>
                <w:sz w:val="20"/>
              </w:rPr>
            </w:pPr>
            <w:r>
              <w:rPr>
                <w:sz w:val="20"/>
              </w:rPr>
              <w:t>（二</w:t>
            </w:r>
            <w:r>
              <w:rPr>
                <w:spacing w:val="-94"/>
                <w:sz w:val="20"/>
              </w:rPr>
              <w:t>）</w:t>
            </w:r>
            <w:r>
              <w:rPr>
                <w:sz w:val="20"/>
              </w:rPr>
              <w:t>涉农和中小企业贷款损失准备金</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6"/>
              <w:jc w:val="center"/>
              <w:rPr>
                <w:sz w:val="20"/>
              </w:rPr>
            </w:pPr>
            <w:r>
              <w:rPr>
                <w:w w:val="99"/>
                <w:sz w:val="20"/>
              </w:rPr>
              <w:t>*</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5"/>
              <w:jc w:val="center"/>
              <w:rPr>
                <w:sz w:val="20"/>
              </w:rPr>
            </w:pPr>
            <w:r>
              <w:rPr>
                <w:w w:val="99"/>
                <w:sz w:val="20"/>
              </w:rPr>
              <w:t>*</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5"/>
              <w:jc w:val="center"/>
              <w:rPr>
                <w:sz w:val="20"/>
              </w:rPr>
            </w:pPr>
            <w:r>
              <w:rPr>
                <w:w w:val="99"/>
                <w:sz w:val="20"/>
              </w:rPr>
              <w:t>*</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7"/>
              <w:jc w:val="center"/>
              <w:rPr>
                <w:sz w:val="20"/>
              </w:rPr>
            </w:pPr>
            <w:r>
              <w:rPr>
                <w:w w:val="99"/>
                <w:sz w:val="20"/>
              </w:rPr>
              <w:t>*</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30"/>
              <w:jc w:val="center"/>
              <w:rPr>
                <w:sz w:val="20"/>
              </w:rPr>
            </w:pPr>
            <w:r>
              <w:rPr>
                <w:w w:val="99"/>
                <w:sz w:val="20"/>
              </w:rPr>
              <w:t>*</w:t>
            </w:r>
          </w:p>
        </w:tc>
        <w:tc>
          <w:tcPr>
            <w:tcW w:w="571" w:type="dxa"/>
            <w:tcBorders>
              <w:top w:val="single" w:color="000000" w:sz="6" w:space="0"/>
              <w:left w:val="single" w:color="000000" w:sz="8" w:space="0"/>
              <w:bottom w:val="single" w:color="000000" w:sz="6" w:space="0"/>
            </w:tcBorders>
            <w:noWrap w:val="0"/>
            <w:vAlign w:val="top"/>
          </w:tcPr>
          <w:p>
            <w:pPr>
              <w:pStyle w:val="11"/>
              <w:spacing w:before="4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1"/>
              <w:ind w:left="24"/>
              <w:jc w:val="center"/>
              <w:rPr>
                <w:sz w:val="20"/>
              </w:rPr>
            </w:pPr>
            <w:r>
              <w:rPr>
                <w:w w:val="99"/>
                <w:sz w:val="20"/>
              </w:rPr>
              <w:t>4</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913"/>
              <w:rPr>
                <w:sz w:val="20"/>
              </w:rPr>
            </w:pPr>
            <w:r>
              <w:rPr>
                <w:sz w:val="20"/>
              </w:rPr>
              <w:t>其中：关注类贷款</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6"/>
              <w:jc w:val="center"/>
              <w:rPr>
                <w:sz w:val="20"/>
              </w:rPr>
            </w:pPr>
            <w:r>
              <w:rPr>
                <w:w w:val="99"/>
                <w:sz w:val="20"/>
              </w:rPr>
              <w:t>*</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5"/>
              <w:jc w:val="center"/>
              <w:rPr>
                <w:sz w:val="20"/>
              </w:rPr>
            </w:pPr>
            <w:r>
              <w:rPr>
                <w:w w:val="99"/>
                <w:sz w:val="20"/>
              </w:rPr>
              <w:t>*</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16"/>
              <w:rPr>
                <w:sz w:val="20"/>
              </w:rPr>
            </w:pPr>
            <w:r>
              <w:rPr>
                <w:sz w:val="20"/>
              </w:rPr>
              <w:t>2%</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7"/>
              <w:jc w:val="center"/>
              <w:rPr>
                <w:sz w:val="20"/>
              </w:rPr>
            </w:pPr>
            <w:r>
              <w:rPr>
                <w:w w:val="99"/>
                <w:sz w:val="20"/>
              </w:rPr>
              <w:t>*</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30"/>
              <w:jc w:val="center"/>
              <w:rPr>
                <w:sz w:val="20"/>
              </w:rPr>
            </w:pPr>
            <w:r>
              <w:rPr>
                <w:w w:val="99"/>
                <w:sz w:val="20"/>
              </w:rPr>
              <w:t>*</w:t>
            </w:r>
          </w:p>
        </w:tc>
        <w:tc>
          <w:tcPr>
            <w:tcW w:w="571" w:type="dxa"/>
            <w:tcBorders>
              <w:top w:val="single" w:color="000000" w:sz="6" w:space="0"/>
              <w:left w:val="single" w:color="000000" w:sz="8" w:space="0"/>
              <w:bottom w:val="single" w:color="000000" w:sz="6" w:space="0"/>
            </w:tcBorders>
            <w:noWrap w:val="0"/>
            <w:vAlign w:val="top"/>
          </w:tcPr>
          <w:p>
            <w:pPr>
              <w:pStyle w:val="11"/>
              <w:spacing w:before="4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1"/>
              <w:ind w:left="24"/>
              <w:jc w:val="center"/>
              <w:rPr>
                <w:sz w:val="20"/>
              </w:rPr>
            </w:pPr>
            <w:r>
              <w:rPr>
                <w:w w:val="99"/>
                <w:sz w:val="20"/>
              </w:rPr>
              <w:t>5</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1492" w:right="1370"/>
              <w:jc w:val="center"/>
              <w:rPr>
                <w:sz w:val="20"/>
              </w:rPr>
            </w:pPr>
            <w:r>
              <w:rPr>
                <w:sz w:val="20"/>
              </w:rPr>
              <w:t>次级类贷款</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6"/>
              <w:jc w:val="center"/>
              <w:rPr>
                <w:sz w:val="20"/>
              </w:rPr>
            </w:pPr>
            <w:r>
              <w:rPr>
                <w:w w:val="99"/>
                <w:sz w:val="20"/>
              </w:rPr>
              <w:t>*</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5"/>
              <w:jc w:val="center"/>
              <w:rPr>
                <w:sz w:val="20"/>
              </w:rPr>
            </w:pPr>
            <w:r>
              <w:rPr>
                <w:w w:val="99"/>
                <w:sz w:val="20"/>
              </w:rPr>
              <w:t>*</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right="133"/>
              <w:jc w:val="right"/>
              <w:rPr>
                <w:sz w:val="20"/>
              </w:rPr>
            </w:pPr>
            <w:r>
              <w:rPr>
                <w:sz w:val="20"/>
              </w:rPr>
              <w:t>25%</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7"/>
              <w:jc w:val="center"/>
              <w:rPr>
                <w:sz w:val="20"/>
              </w:rPr>
            </w:pPr>
            <w:r>
              <w:rPr>
                <w:w w:val="99"/>
                <w:sz w:val="20"/>
              </w:rPr>
              <w:t>*</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30"/>
              <w:jc w:val="center"/>
              <w:rPr>
                <w:sz w:val="20"/>
              </w:rPr>
            </w:pPr>
            <w:r>
              <w:rPr>
                <w:w w:val="99"/>
                <w:sz w:val="20"/>
              </w:rPr>
              <w:t>*</w:t>
            </w:r>
          </w:p>
        </w:tc>
        <w:tc>
          <w:tcPr>
            <w:tcW w:w="571" w:type="dxa"/>
            <w:tcBorders>
              <w:top w:val="single" w:color="000000" w:sz="6" w:space="0"/>
              <w:left w:val="single" w:color="000000" w:sz="8" w:space="0"/>
              <w:bottom w:val="single" w:color="000000" w:sz="6" w:space="0"/>
            </w:tcBorders>
            <w:noWrap w:val="0"/>
            <w:vAlign w:val="top"/>
          </w:tcPr>
          <w:p>
            <w:pPr>
              <w:pStyle w:val="11"/>
              <w:spacing w:before="4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1"/>
              <w:ind w:left="24"/>
              <w:jc w:val="center"/>
              <w:rPr>
                <w:sz w:val="20"/>
              </w:rPr>
            </w:pPr>
            <w:r>
              <w:rPr>
                <w:w w:val="99"/>
                <w:sz w:val="20"/>
              </w:rPr>
              <w:t>6</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1492" w:right="1370"/>
              <w:jc w:val="center"/>
              <w:rPr>
                <w:sz w:val="20"/>
              </w:rPr>
            </w:pPr>
            <w:r>
              <w:rPr>
                <w:sz w:val="20"/>
              </w:rPr>
              <w:t>可疑类贷款</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6"/>
              <w:jc w:val="center"/>
              <w:rPr>
                <w:sz w:val="20"/>
              </w:rPr>
            </w:pPr>
            <w:r>
              <w:rPr>
                <w:w w:val="99"/>
                <w:sz w:val="20"/>
              </w:rPr>
              <w:t>*</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5"/>
              <w:jc w:val="center"/>
              <w:rPr>
                <w:sz w:val="20"/>
              </w:rPr>
            </w:pPr>
            <w:r>
              <w:rPr>
                <w:w w:val="99"/>
                <w:sz w:val="20"/>
              </w:rPr>
              <w:t>*</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right="133"/>
              <w:jc w:val="right"/>
              <w:rPr>
                <w:sz w:val="20"/>
              </w:rPr>
            </w:pPr>
            <w:r>
              <w:rPr>
                <w:sz w:val="20"/>
              </w:rPr>
              <w:t>50%</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7"/>
              <w:jc w:val="center"/>
              <w:rPr>
                <w:sz w:val="20"/>
              </w:rPr>
            </w:pPr>
            <w:r>
              <w:rPr>
                <w:w w:val="99"/>
                <w:sz w:val="20"/>
              </w:rPr>
              <w:t>*</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30"/>
              <w:jc w:val="center"/>
              <w:rPr>
                <w:sz w:val="20"/>
              </w:rPr>
            </w:pPr>
            <w:r>
              <w:rPr>
                <w:w w:val="99"/>
                <w:sz w:val="20"/>
              </w:rPr>
              <w:t>*</w:t>
            </w:r>
          </w:p>
        </w:tc>
        <w:tc>
          <w:tcPr>
            <w:tcW w:w="571" w:type="dxa"/>
            <w:tcBorders>
              <w:top w:val="single" w:color="000000" w:sz="6" w:space="0"/>
              <w:left w:val="single" w:color="000000" w:sz="8" w:space="0"/>
              <w:bottom w:val="single" w:color="000000" w:sz="6" w:space="0"/>
            </w:tcBorders>
            <w:noWrap w:val="0"/>
            <w:vAlign w:val="top"/>
          </w:tcPr>
          <w:p>
            <w:pPr>
              <w:pStyle w:val="11"/>
              <w:spacing w:before="4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1"/>
              <w:ind w:left="24"/>
              <w:jc w:val="center"/>
              <w:rPr>
                <w:sz w:val="20"/>
              </w:rPr>
            </w:pPr>
            <w:r>
              <w:rPr>
                <w:w w:val="99"/>
                <w:sz w:val="20"/>
              </w:rPr>
              <w:t>7</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1492" w:right="1370"/>
              <w:jc w:val="center"/>
              <w:rPr>
                <w:sz w:val="20"/>
              </w:rPr>
            </w:pPr>
            <w:r>
              <w:rPr>
                <w:sz w:val="20"/>
              </w:rPr>
              <w:t>损失类贷款</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6"/>
              <w:jc w:val="center"/>
              <w:rPr>
                <w:sz w:val="20"/>
              </w:rPr>
            </w:pPr>
            <w:r>
              <w:rPr>
                <w:w w:val="99"/>
                <w:sz w:val="20"/>
              </w:rPr>
              <w:t>*</w:t>
            </w: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5"/>
              <w:jc w:val="center"/>
              <w:rPr>
                <w:sz w:val="20"/>
              </w:rPr>
            </w:pPr>
            <w:r>
              <w:rPr>
                <w:w w:val="99"/>
                <w:sz w:val="20"/>
              </w:rPr>
              <w:t>*</w:t>
            </w: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right="85"/>
              <w:jc w:val="right"/>
              <w:rPr>
                <w:sz w:val="20"/>
              </w:rPr>
            </w:pPr>
            <w:r>
              <w:rPr>
                <w:w w:val="95"/>
                <w:sz w:val="20"/>
              </w:rPr>
              <w:t>100%</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27"/>
              <w:jc w:val="center"/>
              <w:rPr>
                <w:sz w:val="20"/>
              </w:rPr>
            </w:pPr>
            <w:r>
              <w:rPr>
                <w:w w:val="99"/>
                <w:sz w:val="20"/>
              </w:rPr>
              <w:t>*</w:t>
            </w: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1"/>
              <w:ind w:left="30"/>
              <w:jc w:val="center"/>
              <w:rPr>
                <w:sz w:val="20"/>
              </w:rPr>
            </w:pPr>
            <w:r>
              <w:rPr>
                <w:w w:val="99"/>
                <w:sz w:val="20"/>
              </w:rPr>
              <w:t>*</w:t>
            </w:r>
          </w:p>
        </w:tc>
        <w:tc>
          <w:tcPr>
            <w:tcW w:w="571" w:type="dxa"/>
            <w:tcBorders>
              <w:top w:val="single" w:color="000000" w:sz="6" w:space="0"/>
              <w:left w:val="single" w:color="000000" w:sz="8" w:space="0"/>
              <w:bottom w:val="single" w:color="000000" w:sz="6" w:space="0"/>
            </w:tcBorders>
            <w:noWrap w:val="0"/>
            <w:vAlign w:val="top"/>
          </w:tcPr>
          <w:p>
            <w:pPr>
              <w:pStyle w:val="11"/>
              <w:spacing w:before="41"/>
              <w:ind w:left="33"/>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2"/>
              <w:ind w:left="24"/>
              <w:jc w:val="center"/>
              <w:rPr>
                <w:sz w:val="20"/>
              </w:rPr>
            </w:pPr>
            <w:r>
              <w:rPr>
                <w:w w:val="99"/>
                <w:sz w:val="20"/>
              </w:rPr>
              <w:t>8</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2"/>
              <w:ind w:left="111"/>
              <w:rPr>
                <w:sz w:val="20"/>
              </w:rPr>
            </w:pPr>
            <w:r>
              <w:rPr>
                <w:sz w:val="20"/>
              </w:rPr>
              <w:t>二、小额贷款公司</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2"/>
              <w:ind w:left="216"/>
              <w:rPr>
                <w:sz w:val="20"/>
              </w:rPr>
            </w:pPr>
            <w:r>
              <w:rPr>
                <w:sz w:val="20"/>
              </w:rPr>
              <w:t>1%</w:t>
            </w: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571" w:type="dxa"/>
            <w:tcBorders>
              <w:top w:val="single" w:color="000000" w:sz="6" w:space="0"/>
              <w:left w:val="single" w:color="000000" w:sz="8"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1" w:type="dxa"/>
            <w:tcBorders>
              <w:top w:val="single" w:color="000000" w:sz="6" w:space="0"/>
              <w:bottom w:val="single" w:color="000000" w:sz="6" w:space="0"/>
              <w:right w:val="single" w:color="000000" w:sz="8" w:space="0"/>
            </w:tcBorders>
            <w:noWrap w:val="0"/>
            <w:vAlign w:val="top"/>
          </w:tcPr>
          <w:p>
            <w:pPr>
              <w:pStyle w:val="11"/>
              <w:spacing w:before="42"/>
              <w:ind w:left="24"/>
              <w:jc w:val="center"/>
              <w:rPr>
                <w:sz w:val="20"/>
              </w:rPr>
            </w:pPr>
            <w:r>
              <w:rPr>
                <w:w w:val="99"/>
                <w:sz w:val="20"/>
              </w:rPr>
              <w:t>9</w:t>
            </w:r>
          </w:p>
        </w:tc>
        <w:tc>
          <w:tcPr>
            <w:tcW w:w="2774" w:type="dxa"/>
            <w:tcBorders>
              <w:top w:val="single" w:color="000000" w:sz="6" w:space="0"/>
              <w:left w:val="single" w:color="000000" w:sz="8" w:space="0"/>
              <w:bottom w:val="single" w:color="000000" w:sz="6" w:space="0"/>
              <w:right w:val="single" w:color="000000" w:sz="8" w:space="0"/>
            </w:tcBorders>
            <w:noWrap w:val="0"/>
            <w:vAlign w:val="top"/>
          </w:tcPr>
          <w:p>
            <w:pPr>
              <w:pStyle w:val="11"/>
              <w:spacing w:before="42"/>
              <w:ind w:left="111"/>
              <w:rPr>
                <w:sz w:val="20"/>
              </w:rPr>
            </w:pPr>
            <w:r>
              <w:rPr>
                <w:sz w:val="20"/>
              </w:rPr>
              <w:t>三、其他</w:t>
            </w: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601"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165"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802" w:type="dxa"/>
            <w:tcBorders>
              <w:top w:val="single" w:color="000000" w:sz="6" w:space="0"/>
              <w:left w:val="single" w:color="000000" w:sz="8" w:space="0"/>
              <w:bottom w:val="single" w:color="000000" w:sz="6" w:space="0"/>
              <w:right w:val="single" w:color="000000" w:sz="8" w:space="0"/>
            </w:tcBorders>
            <w:noWrap w:val="0"/>
            <w:vAlign w:val="top"/>
          </w:tcPr>
          <w:p>
            <w:pPr>
              <w:pStyle w:val="11"/>
              <w:rPr>
                <w:rFonts w:ascii="Times New Roman"/>
                <w:sz w:val="20"/>
              </w:rPr>
            </w:pPr>
          </w:p>
        </w:tc>
        <w:tc>
          <w:tcPr>
            <w:tcW w:w="571" w:type="dxa"/>
            <w:tcBorders>
              <w:top w:val="single" w:color="000000" w:sz="6" w:space="0"/>
              <w:left w:val="single" w:color="000000" w:sz="8"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9" w:hRule="atLeast"/>
          <w:jc w:val="center"/>
        </w:trPr>
        <w:tc>
          <w:tcPr>
            <w:tcW w:w="301" w:type="dxa"/>
            <w:tcBorders>
              <w:top w:val="single" w:color="000000" w:sz="6" w:space="0"/>
              <w:right w:val="single" w:color="000000" w:sz="8" w:space="0"/>
            </w:tcBorders>
            <w:noWrap w:val="0"/>
            <w:vAlign w:val="top"/>
          </w:tcPr>
          <w:p>
            <w:pPr>
              <w:pStyle w:val="11"/>
              <w:spacing w:before="42"/>
              <w:ind w:left="92" w:right="68"/>
              <w:jc w:val="center"/>
              <w:rPr>
                <w:sz w:val="20"/>
              </w:rPr>
            </w:pPr>
            <w:r>
              <w:rPr>
                <w:sz w:val="20"/>
              </w:rPr>
              <w:t>10</w:t>
            </w:r>
          </w:p>
        </w:tc>
        <w:tc>
          <w:tcPr>
            <w:tcW w:w="2774" w:type="dxa"/>
            <w:tcBorders>
              <w:top w:val="single" w:color="000000" w:sz="6" w:space="0"/>
              <w:left w:val="single" w:color="000000" w:sz="8" w:space="0"/>
              <w:right w:val="single" w:color="000000" w:sz="8" w:space="0"/>
            </w:tcBorders>
            <w:noWrap w:val="0"/>
            <w:vAlign w:val="top"/>
          </w:tcPr>
          <w:p>
            <w:pPr>
              <w:pStyle w:val="11"/>
              <w:spacing w:before="42"/>
              <w:ind w:left="111"/>
              <w:rPr>
                <w:sz w:val="20"/>
              </w:rPr>
            </w:pPr>
            <w:r>
              <w:rPr>
                <w:sz w:val="20"/>
              </w:rPr>
              <w:t>合计(1+8+9)</w:t>
            </w:r>
          </w:p>
        </w:tc>
        <w:tc>
          <w:tcPr>
            <w:tcW w:w="451"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451"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602"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601"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902"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903"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439" w:type="dxa"/>
            <w:tcBorders>
              <w:top w:val="single" w:color="000000" w:sz="6" w:space="0"/>
              <w:left w:val="single" w:color="000000" w:sz="8" w:space="0"/>
              <w:right w:val="single" w:color="000000" w:sz="8" w:space="0"/>
            </w:tcBorders>
            <w:noWrap w:val="0"/>
            <w:vAlign w:val="top"/>
          </w:tcPr>
          <w:p>
            <w:pPr>
              <w:pStyle w:val="11"/>
              <w:spacing w:before="42"/>
              <w:ind w:left="25"/>
              <w:jc w:val="center"/>
              <w:rPr>
                <w:sz w:val="20"/>
              </w:rPr>
            </w:pPr>
            <w:r>
              <w:rPr>
                <w:w w:val="99"/>
                <w:sz w:val="20"/>
              </w:rPr>
              <w:t>*</w:t>
            </w:r>
          </w:p>
        </w:tc>
        <w:tc>
          <w:tcPr>
            <w:tcW w:w="1165"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1002"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802" w:type="dxa"/>
            <w:tcBorders>
              <w:top w:val="single" w:color="000000" w:sz="6" w:space="0"/>
              <w:left w:val="single" w:color="000000" w:sz="8" w:space="0"/>
              <w:right w:val="single" w:color="000000" w:sz="8" w:space="0"/>
            </w:tcBorders>
            <w:noWrap w:val="0"/>
            <w:vAlign w:val="top"/>
          </w:tcPr>
          <w:p>
            <w:pPr>
              <w:pStyle w:val="11"/>
              <w:rPr>
                <w:rFonts w:ascii="Times New Roman"/>
                <w:sz w:val="20"/>
              </w:rPr>
            </w:pPr>
          </w:p>
        </w:tc>
        <w:tc>
          <w:tcPr>
            <w:tcW w:w="571" w:type="dxa"/>
            <w:tcBorders>
              <w:top w:val="single" w:color="000000" w:sz="6" w:space="0"/>
              <w:left w:val="single" w:color="000000" w:sz="8" w:space="0"/>
            </w:tcBorders>
            <w:noWrap w:val="0"/>
            <w:vAlign w:val="top"/>
          </w:tcPr>
          <w:p>
            <w:pPr>
              <w:pStyle w:val="11"/>
              <w:rPr>
                <w:rFonts w:ascii="Times New Roman"/>
                <w:sz w:val="20"/>
              </w:rPr>
            </w:pPr>
          </w:p>
        </w:tc>
      </w:tr>
    </w:tbl>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720" w:firstLineChars="200"/>
        <w:jc w:val="center"/>
        <w:textAlignment w:val="auto"/>
        <w:rPr>
          <w:rFonts w:hint="eastAsia" w:ascii="微软雅黑" w:hAnsi="微软雅黑" w:eastAsia="微软雅黑" w:cs="微软雅黑"/>
          <w:b/>
          <w:bCs/>
          <w:sz w:val="36"/>
          <w:szCs w:val="36"/>
          <w:lang w:eastAsia="zh-CN"/>
        </w:rPr>
      </w:pPr>
    </w:p>
    <w:p>
      <w:pPr>
        <w:pStyle w:val="4"/>
        <w:bidi w:val="0"/>
        <w:rPr>
          <w:rFonts w:hint="eastAsia"/>
          <w:lang w:eastAsia="zh-CN"/>
        </w:rPr>
      </w:pPr>
      <w:r>
        <w:rPr>
          <w:rFonts w:hint="eastAsia"/>
          <w:lang w:eastAsia="zh-CN"/>
        </w:rPr>
        <w:t>A105120</w:t>
      </w:r>
      <w:r>
        <w:rPr>
          <w:rFonts w:hint="eastAsia"/>
          <w:lang w:eastAsia="zh-CN"/>
        </w:rPr>
        <w:tab/>
      </w:r>
      <w:r>
        <w:rPr>
          <w:rFonts w:hint="eastAsia"/>
          <w:lang w:eastAsia="zh-CN"/>
        </w:rPr>
        <w:t>《贷款损失准备金及纳税调整明细表》填报说明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本表适用于发生贷款损失准备金的金融企业、小额贷款公司纳税人填报。纳税人根据税法、《财政部 税务总局关于金融企业贷款损失准备金企业所得税税前扣除有关政策的公告》（2019 年第 86 号）、《财政部 税务总局关于金融企业涉农贷款和中小企业贷款损失准备金税前扣除有关政策的公告》（2019 年第 85 号）、《财政部 税务总局关于延续实施普惠金融有关税收优惠政策的公告》（2020 年第 22 号）等相关规定， 以及国家统一企业会计制度，填报贷款损失准备金会计处理、税收规定及纳税调整情况。只要会计上发生贷款损失准备金，不论是否纳税调整，均需填报。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列“上年末贷款资产余额”：填报纳税人会计核算的上年末贷款资产余额。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列“本年末贷款资产余额”：填报纳税人会计核算的本年末贷款资产余额。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列“上年末贷款损失准备金余额”：填报纳税人会计核算的上年末贷款损失准备金余额。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列“本年末贷款损失准备金余额”：填报纳税人会计核算的本年末贷款损失准备金余额。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列“上年末准予提取贷款损失准备金的贷款资产余额”：填报纳税人按照税收规定上年末准予提取贷款损失准备金的贷款资产余额。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列“本年末准予提取贷款损失准备金的贷款资产余额”：填报纳税人按照税收规定本年末准予提取贷款损失准备金的贷款资产余额。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列“计提比例”：填报纳税人对应贷款按照税收规定准予计提贷款损失准备金的比例。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列“按本年末准予提取贷款损失准备金的贷款资产余额与计提比例计算的准备金额”：填报纳税人按照税收规定根据按本年末准予提取贷款损失准备金的贷款资产余额与计提比例计算的准备金额。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列“截至上年末已在税前扣除的贷款损失准备金的余额”：填报纳税人按照税收规定截至上年末已在税前扣除的贷款损失准备金的余额。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10 列“准予当年税前扣除的贷款损失准备金”：填报第 4 列与第 8 列的孰小值-第 9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11 列：“纳税调整金额”：填报第 4-3-10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行“一、金融企业”：填报金融企业贷款损失准备金的纳税调整情况。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行“（一）贷款损失准备金”：填报金融企业执行《财政部 税务总局关于金融企业贷款损失准备金企业所得税税前扣除有关政策的公告》（2019 年第 86 号）规定的贷款资产的情况。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行“（二）涉农和中小企业贷款损失准备金”：填报金融企业执行《财政部 税务总局关于金融企业涉农贷款和中小企业贷款损失准备金税前扣除有关政策的公告》（2019 年第 85 号）规定的涉农和中小企业贷款资产的情况。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行“其中：关注类贷款”：填报涉农和中小企业贷款中关注类贷款资产的情况。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行“次级类贷款”：填报涉农和中小企业贷款中次级类贷款资产的情况。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行“可疑类贷款”：填报涉农和中小企业贷款中可疑类贷款资产的情况。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行“损失类贷款”：填报涉农和中小企业贷款中损失类贷款资产的情况。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行“二、小额贷款公司”：填报经省级金融管理部门批准成立的小额贷款公司贷款损失准备金的纳税调整情况。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行“三、其他”：填报除上述列举情形外的贷款损失准备金的纳税调整情况。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10 行“合计”：填报第 1+8+9 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8 列＝第 6×7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10 列＝第 4 列与第 8 列的孰小值-第 9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11 列＝第 4-3-10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 行＝第 2+3 行（仅第 1、2、5、6、8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10 行＝第 1+8+9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若第 10 行第 11 列≥0，第 10 行第 11 列＝表 A105000 第 39、7 行第 3 列；若第 10行第 11 列＜0，第 10 行第 11 列的绝对值＝表 A105000 第 39、7 行第 4 列。</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A106000</w:t>
      </w:r>
      <w:r>
        <w:rPr>
          <w:rFonts w:hint="eastAsia"/>
          <w:lang w:eastAsia="zh-CN"/>
        </w:rPr>
        <w:tab/>
      </w:r>
      <w:r>
        <w:rPr>
          <w:rFonts w:hint="eastAsia"/>
          <w:lang w:eastAsia="zh-CN"/>
        </w:rPr>
        <w:t>企业所得税弥补亏损明细表</w:t>
      </w:r>
    </w:p>
    <w:tbl>
      <w:tblPr>
        <w:tblStyle w:val="8"/>
        <w:tblW w:w="11146"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02"/>
        <w:gridCol w:w="854"/>
        <w:gridCol w:w="491"/>
        <w:gridCol w:w="664"/>
        <w:gridCol w:w="895"/>
        <w:gridCol w:w="888"/>
        <w:gridCol w:w="904"/>
        <w:gridCol w:w="904"/>
        <w:gridCol w:w="716"/>
        <w:gridCol w:w="716"/>
        <w:gridCol w:w="715"/>
        <w:gridCol w:w="904"/>
        <w:gridCol w:w="958"/>
        <w:gridCol w:w="103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502" w:type="dxa"/>
            <w:vMerge w:val="restart"/>
            <w:tcBorders>
              <w:bottom w:val="single" w:color="000000" w:sz="6" w:space="0"/>
              <w:right w:val="single" w:color="000000" w:sz="6" w:space="0"/>
            </w:tcBorders>
            <w:noWrap w:val="0"/>
            <w:vAlign w:val="top"/>
          </w:tcPr>
          <w:p>
            <w:pPr>
              <w:pStyle w:val="11"/>
              <w:rPr>
                <w:b/>
                <w:sz w:val="20"/>
              </w:rPr>
            </w:pPr>
          </w:p>
          <w:p>
            <w:pPr>
              <w:pStyle w:val="11"/>
              <w:spacing w:before="2"/>
              <w:rPr>
                <w:b/>
                <w:sz w:val="27"/>
              </w:rPr>
            </w:pPr>
          </w:p>
          <w:p>
            <w:pPr>
              <w:pStyle w:val="11"/>
              <w:ind w:left="114"/>
              <w:rPr>
                <w:sz w:val="20"/>
              </w:rPr>
            </w:pPr>
            <w:r>
              <w:rPr>
                <w:sz w:val="20"/>
              </w:rPr>
              <w:t>行次</w:t>
            </w:r>
          </w:p>
        </w:tc>
        <w:tc>
          <w:tcPr>
            <w:tcW w:w="854" w:type="dxa"/>
            <w:vMerge w:val="restart"/>
            <w:tcBorders>
              <w:left w:val="single" w:color="000000" w:sz="6" w:space="0"/>
              <w:bottom w:val="single" w:color="000000" w:sz="6" w:space="0"/>
              <w:right w:val="single" w:color="000000" w:sz="6" w:space="0"/>
            </w:tcBorders>
            <w:noWrap w:val="0"/>
            <w:vAlign w:val="top"/>
          </w:tcPr>
          <w:p>
            <w:pPr>
              <w:pStyle w:val="11"/>
              <w:rPr>
                <w:b/>
                <w:sz w:val="20"/>
              </w:rPr>
            </w:pPr>
          </w:p>
          <w:p>
            <w:pPr>
              <w:pStyle w:val="11"/>
              <w:spacing w:before="2"/>
              <w:rPr>
                <w:b/>
                <w:sz w:val="27"/>
              </w:rPr>
            </w:pPr>
          </w:p>
          <w:p>
            <w:pPr>
              <w:pStyle w:val="11"/>
              <w:ind w:left="341"/>
              <w:rPr>
                <w:sz w:val="20"/>
              </w:rPr>
            </w:pPr>
            <w:r>
              <w:rPr>
                <w:sz w:val="20"/>
              </w:rPr>
              <w:t>项目</w:t>
            </w:r>
          </w:p>
        </w:tc>
        <w:tc>
          <w:tcPr>
            <w:tcW w:w="491" w:type="dxa"/>
            <w:vMerge w:val="restart"/>
            <w:tcBorders>
              <w:left w:val="single" w:color="000000" w:sz="6" w:space="0"/>
              <w:bottom w:val="single" w:color="000000" w:sz="6" w:space="0"/>
              <w:right w:val="single" w:color="000000" w:sz="6" w:space="0"/>
            </w:tcBorders>
            <w:noWrap w:val="0"/>
            <w:vAlign w:val="top"/>
          </w:tcPr>
          <w:p>
            <w:pPr>
              <w:pStyle w:val="11"/>
              <w:rPr>
                <w:b/>
                <w:sz w:val="20"/>
              </w:rPr>
            </w:pPr>
          </w:p>
          <w:p>
            <w:pPr>
              <w:pStyle w:val="11"/>
              <w:spacing w:before="142"/>
              <w:ind w:left="115"/>
              <w:rPr>
                <w:sz w:val="20"/>
              </w:rPr>
            </w:pPr>
            <w:r>
              <w:rPr>
                <w:sz w:val="20"/>
              </w:rPr>
              <w:t>年度</w:t>
            </w:r>
          </w:p>
        </w:tc>
        <w:tc>
          <w:tcPr>
            <w:tcW w:w="664" w:type="dxa"/>
            <w:vMerge w:val="restart"/>
            <w:tcBorders>
              <w:left w:val="single" w:color="000000" w:sz="6" w:space="0"/>
              <w:bottom w:val="single" w:color="000000" w:sz="6" w:space="0"/>
              <w:right w:val="single" w:color="000000" w:sz="6" w:space="0"/>
            </w:tcBorders>
            <w:noWrap w:val="0"/>
            <w:vAlign w:val="top"/>
          </w:tcPr>
          <w:p>
            <w:pPr>
              <w:pStyle w:val="11"/>
              <w:spacing w:before="136" w:line="242" w:lineRule="auto"/>
              <w:ind w:left="123" w:right="92"/>
              <w:jc w:val="center"/>
              <w:rPr>
                <w:sz w:val="20"/>
              </w:rPr>
            </w:pPr>
            <w:r>
              <w:rPr>
                <w:sz w:val="20"/>
              </w:rPr>
              <w:t>当年境内所得额</w:t>
            </w:r>
          </w:p>
        </w:tc>
        <w:tc>
          <w:tcPr>
            <w:tcW w:w="895" w:type="dxa"/>
            <w:vMerge w:val="restart"/>
            <w:tcBorders>
              <w:left w:val="single" w:color="000000" w:sz="6" w:space="0"/>
              <w:bottom w:val="single" w:color="000000" w:sz="6" w:space="0"/>
              <w:right w:val="single" w:color="000000" w:sz="6" w:space="0"/>
            </w:tcBorders>
            <w:noWrap w:val="0"/>
            <w:vAlign w:val="top"/>
          </w:tcPr>
          <w:p>
            <w:pPr>
              <w:pStyle w:val="11"/>
              <w:spacing w:before="12"/>
              <w:rPr>
                <w:b/>
                <w:sz w:val="20"/>
              </w:rPr>
            </w:pPr>
          </w:p>
          <w:p>
            <w:pPr>
              <w:pStyle w:val="11"/>
              <w:ind w:left="166" w:right="140"/>
              <w:rPr>
                <w:sz w:val="20"/>
              </w:rPr>
            </w:pPr>
            <w:r>
              <w:rPr>
                <w:sz w:val="20"/>
              </w:rPr>
              <w:t>分立转出的亏损额</w:t>
            </w:r>
          </w:p>
        </w:tc>
        <w:tc>
          <w:tcPr>
            <w:tcW w:w="2696" w:type="dxa"/>
            <w:gridSpan w:val="3"/>
            <w:tcBorders>
              <w:left w:val="single" w:color="000000" w:sz="6" w:space="0"/>
              <w:bottom w:val="single" w:color="000000" w:sz="6" w:space="0"/>
              <w:right w:val="single" w:color="000000" w:sz="6" w:space="0"/>
            </w:tcBorders>
            <w:noWrap w:val="0"/>
            <w:vAlign w:val="top"/>
          </w:tcPr>
          <w:p>
            <w:pPr>
              <w:pStyle w:val="11"/>
              <w:spacing w:before="2"/>
              <w:ind w:left="976" w:right="950"/>
              <w:jc w:val="center"/>
              <w:rPr>
                <w:sz w:val="20"/>
              </w:rPr>
            </w:pPr>
            <w:r>
              <w:rPr>
                <w:sz w:val="20"/>
              </w:rPr>
              <w:t>合并、分立转入</w:t>
            </w:r>
          </w:p>
          <w:p>
            <w:pPr>
              <w:pStyle w:val="11"/>
              <w:spacing w:before="3" w:line="237" w:lineRule="exact"/>
              <w:ind w:left="976" w:right="950"/>
              <w:jc w:val="center"/>
              <w:rPr>
                <w:sz w:val="20"/>
              </w:rPr>
            </w:pPr>
            <w:r>
              <w:rPr>
                <w:sz w:val="20"/>
              </w:rPr>
              <w:t>的亏损额</w:t>
            </w:r>
          </w:p>
        </w:tc>
        <w:tc>
          <w:tcPr>
            <w:tcW w:w="716" w:type="dxa"/>
            <w:vMerge w:val="restart"/>
            <w:tcBorders>
              <w:left w:val="single" w:color="000000" w:sz="6" w:space="0"/>
              <w:bottom w:val="single" w:color="000000" w:sz="6" w:space="0"/>
              <w:right w:val="single" w:color="000000" w:sz="6" w:space="0"/>
            </w:tcBorders>
            <w:noWrap w:val="0"/>
            <w:vAlign w:val="top"/>
          </w:tcPr>
          <w:p>
            <w:pPr>
              <w:pStyle w:val="11"/>
              <w:spacing w:before="136" w:line="242" w:lineRule="auto"/>
              <w:ind w:left="156" w:right="124"/>
              <w:jc w:val="both"/>
              <w:rPr>
                <w:sz w:val="20"/>
              </w:rPr>
            </w:pPr>
            <w:r>
              <w:rPr>
                <w:sz w:val="20"/>
              </w:rPr>
              <w:t>弥补亏损企业类型</w:t>
            </w:r>
          </w:p>
        </w:tc>
        <w:tc>
          <w:tcPr>
            <w:tcW w:w="716" w:type="dxa"/>
            <w:vMerge w:val="restart"/>
            <w:tcBorders>
              <w:left w:val="single" w:color="000000" w:sz="6" w:space="0"/>
              <w:bottom w:val="single" w:color="000000" w:sz="6" w:space="0"/>
              <w:right w:val="single" w:color="000000" w:sz="6" w:space="0"/>
            </w:tcBorders>
            <w:noWrap w:val="0"/>
            <w:vAlign w:val="top"/>
          </w:tcPr>
          <w:p>
            <w:pPr>
              <w:pStyle w:val="11"/>
              <w:spacing w:before="12"/>
              <w:rPr>
                <w:b/>
                <w:sz w:val="20"/>
              </w:rPr>
            </w:pPr>
          </w:p>
          <w:p>
            <w:pPr>
              <w:pStyle w:val="11"/>
              <w:ind w:left="254" w:right="125" w:hanging="99"/>
              <w:rPr>
                <w:sz w:val="20"/>
              </w:rPr>
            </w:pPr>
            <w:r>
              <w:rPr>
                <w:sz w:val="20"/>
              </w:rPr>
              <w:t>当年亏损额</w:t>
            </w:r>
          </w:p>
        </w:tc>
        <w:tc>
          <w:tcPr>
            <w:tcW w:w="715" w:type="dxa"/>
            <w:vMerge w:val="restart"/>
            <w:tcBorders>
              <w:left w:val="single" w:color="000000" w:sz="6" w:space="0"/>
              <w:bottom w:val="single" w:color="000000" w:sz="6" w:space="0"/>
              <w:right w:val="single" w:color="000000" w:sz="6" w:space="0"/>
            </w:tcBorders>
            <w:noWrap w:val="0"/>
            <w:vAlign w:val="top"/>
          </w:tcPr>
          <w:p>
            <w:pPr>
              <w:pStyle w:val="11"/>
              <w:spacing w:before="136" w:line="242" w:lineRule="auto"/>
              <w:ind w:left="155" w:right="124"/>
              <w:jc w:val="both"/>
              <w:rPr>
                <w:sz w:val="20"/>
              </w:rPr>
            </w:pPr>
            <w:r>
              <w:rPr>
                <w:sz w:val="20"/>
              </w:rPr>
              <w:t>当年待弥补的亏损额</w:t>
            </w:r>
          </w:p>
        </w:tc>
        <w:tc>
          <w:tcPr>
            <w:tcW w:w="1862" w:type="dxa"/>
            <w:gridSpan w:val="2"/>
            <w:tcBorders>
              <w:left w:val="single" w:color="000000" w:sz="6" w:space="0"/>
              <w:bottom w:val="single" w:color="000000" w:sz="6" w:space="0"/>
              <w:right w:val="single" w:color="000000" w:sz="6" w:space="0"/>
            </w:tcBorders>
            <w:noWrap w:val="0"/>
            <w:vAlign w:val="top"/>
          </w:tcPr>
          <w:p>
            <w:pPr>
              <w:pStyle w:val="11"/>
              <w:spacing w:before="2"/>
              <w:ind w:left="155" w:right="126"/>
              <w:jc w:val="center"/>
              <w:rPr>
                <w:sz w:val="20"/>
              </w:rPr>
            </w:pPr>
            <w:r>
              <w:rPr>
                <w:sz w:val="20"/>
              </w:rPr>
              <w:t>用本年度所得额弥补的</w:t>
            </w:r>
          </w:p>
          <w:p>
            <w:pPr>
              <w:pStyle w:val="11"/>
              <w:spacing w:before="3" w:line="237" w:lineRule="exact"/>
              <w:ind w:left="155" w:right="126"/>
              <w:jc w:val="center"/>
              <w:rPr>
                <w:sz w:val="20"/>
              </w:rPr>
            </w:pPr>
            <w:r>
              <w:rPr>
                <w:sz w:val="20"/>
              </w:rPr>
              <w:t>以前年度亏损额</w:t>
            </w:r>
          </w:p>
        </w:tc>
        <w:tc>
          <w:tcPr>
            <w:tcW w:w="1035" w:type="dxa"/>
            <w:vMerge w:val="restart"/>
            <w:tcBorders>
              <w:left w:val="single" w:color="000000" w:sz="6" w:space="0"/>
              <w:bottom w:val="single" w:color="000000" w:sz="6" w:space="0"/>
            </w:tcBorders>
            <w:noWrap w:val="0"/>
            <w:vAlign w:val="top"/>
          </w:tcPr>
          <w:p>
            <w:pPr>
              <w:pStyle w:val="11"/>
              <w:spacing w:before="136" w:line="242" w:lineRule="auto"/>
              <w:ind w:left="155" w:right="120"/>
              <w:jc w:val="both"/>
              <w:rPr>
                <w:sz w:val="20"/>
              </w:rPr>
            </w:pPr>
            <w:r>
              <w:rPr>
                <w:sz w:val="20"/>
              </w:rPr>
              <w:t>当年可结转以后年度弥补的亏损额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jc w:val="center"/>
        </w:trPr>
        <w:tc>
          <w:tcPr>
            <w:tcW w:w="502" w:type="dxa"/>
            <w:vMerge w:val="continue"/>
            <w:tcBorders>
              <w:top w:val="nil"/>
              <w:bottom w:val="single" w:color="000000" w:sz="6" w:space="0"/>
              <w:right w:val="single" w:color="000000" w:sz="6" w:space="0"/>
            </w:tcBorders>
            <w:noWrap w:val="0"/>
            <w:vAlign w:val="top"/>
          </w:tcPr>
          <w:p>
            <w:pPr>
              <w:rPr>
                <w:sz w:val="2"/>
                <w:szCs w:val="2"/>
              </w:rPr>
            </w:pPr>
          </w:p>
        </w:tc>
        <w:tc>
          <w:tcPr>
            <w:tcW w:w="854"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9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64"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895"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64"/>
              <w:rPr>
                <w:sz w:val="20"/>
              </w:rPr>
            </w:pPr>
            <w:r>
              <w:rPr>
                <w:sz w:val="20"/>
              </w:rPr>
              <w:t>可弥补年</w:t>
            </w:r>
          </w:p>
          <w:p>
            <w:pPr>
              <w:pStyle w:val="11"/>
              <w:spacing w:before="3" w:line="238" w:lineRule="exact"/>
              <w:ind w:left="262"/>
              <w:rPr>
                <w:sz w:val="20"/>
              </w:rPr>
            </w:pPr>
            <w:r>
              <w:rPr>
                <w:sz w:val="20"/>
              </w:rPr>
              <w:t>限 5 年</w:t>
            </w: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53" w:right="126"/>
              <w:jc w:val="center"/>
              <w:rPr>
                <w:sz w:val="20"/>
              </w:rPr>
            </w:pPr>
            <w:r>
              <w:rPr>
                <w:sz w:val="20"/>
              </w:rPr>
              <w:t>可弥补年</w:t>
            </w:r>
          </w:p>
          <w:p>
            <w:pPr>
              <w:pStyle w:val="11"/>
              <w:spacing w:before="3" w:line="238" w:lineRule="exact"/>
              <w:ind w:left="153" w:right="126"/>
              <w:jc w:val="center"/>
              <w:rPr>
                <w:sz w:val="20"/>
              </w:rPr>
            </w:pPr>
            <w:r>
              <w:rPr>
                <w:sz w:val="20"/>
              </w:rPr>
              <w:t>限 8 年</w:t>
            </w: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74"/>
              <w:rPr>
                <w:sz w:val="20"/>
              </w:rPr>
            </w:pPr>
            <w:r>
              <w:rPr>
                <w:sz w:val="20"/>
              </w:rPr>
              <w:t>可弥补年</w:t>
            </w:r>
          </w:p>
          <w:p>
            <w:pPr>
              <w:pStyle w:val="11"/>
              <w:spacing w:before="3" w:line="238" w:lineRule="exact"/>
              <w:ind w:left="222"/>
              <w:rPr>
                <w:sz w:val="20"/>
              </w:rPr>
            </w:pPr>
            <w:r>
              <w:rPr>
                <w:sz w:val="20"/>
              </w:rPr>
              <w:t>限 10 年</w:t>
            </w:r>
          </w:p>
        </w:tc>
        <w:tc>
          <w:tcPr>
            <w:tcW w:w="716"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716"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715"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73"/>
              <w:rPr>
                <w:sz w:val="20"/>
              </w:rPr>
            </w:pPr>
            <w:r>
              <w:rPr>
                <w:w w:val="95"/>
                <w:sz w:val="20"/>
              </w:rPr>
              <w:t>使用境内</w:t>
            </w:r>
          </w:p>
          <w:p>
            <w:pPr>
              <w:pStyle w:val="11"/>
              <w:spacing w:before="3" w:line="238" w:lineRule="exact"/>
              <w:ind w:left="173"/>
              <w:rPr>
                <w:sz w:val="20"/>
              </w:rPr>
            </w:pPr>
            <w:r>
              <w:rPr>
                <w:w w:val="95"/>
                <w:sz w:val="20"/>
              </w:rPr>
              <w:t>所得弥补</w:t>
            </w: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208"/>
              <w:rPr>
                <w:sz w:val="20"/>
              </w:rPr>
            </w:pPr>
            <w:r>
              <w:rPr>
                <w:w w:val="95"/>
                <w:sz w:val="20"/>
              </w:rPr>
              <w:t>使用境外</w:t>
            </w:r>
          </w:p>
          <w:p>
            <w:pPr>
              <w:pStyle w:val="11"/>
              <w:spacing w:before="3" w:line="238" w:lineRule="exact"/>
              <w:ind w:left="208"/>
              <w:rPr>
                <w:sz w:val="20"/>
              </w:rPr>
            </w:pPr>
            <w:r>
              <w:rPr>
                <w:w w:val="95"/>
                <w:sz w:val="20"/>
              </w:rPr>
              <w:t>所得弥补</w:t>
            </w:r>
          </w:p>
        </w:tc>
        <w:tc>
          <w:tcPr>
            <w:tcW w:w="1035" w:type="dxa"/>
            <w:vMerge w:val="continue"/>
            <w:tcBorders>
              <w:top w:val="nil"/>
              <w:left w:val="single" w:color="000000" w:sz="6" w:space="0"/>
              <w:bottom w:val="single" w:color="000000" w:sz="6" w:space="0"/>
            </w:tcBorders>
            <w:noWrap w:val="0"/>
            <w:vAlign w:val="top"/>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vMerge w:val="continue"/>
            <w:tcBorders>
              <w:top w:val="nil"/>
              <w:bottom w:val="single" w:color="000000" w:sz="6" w:space="0"/>
              <w:right w:val="single" w:color="000000" w:sz="6" w:space="0"/>
            </w:tcBorders>
            <w:noWrap w:val="0"/>
            <w:vAlign w:val="top"/>
          </w:tcPr>
          <w:p>
            <w:pPr>
              <w:rPr>
                <w:sz w:val="2"/>
                <w:szCs w:val="2"/>
              </w:rPr>
            </w:pPr>
          </w:p>
        </w:tc>
        <w:tc>
          <w:tcPr>
            <w:tcW w:w="854"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7"/>
              <w:jc w:val="center"/>
              <w:rPr>
                <w:sz w:val="20"/>
              </w:rPr>
            </w:pPr>
            <w:r>
              <w:rPr>
                <w:w w:val="99"/>
                <w:sz w:val="20"/>
              </w:rPr>
              <w:t>1</w:t>
            </w: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8"/>
              <w:jc w:val="center"/>
              <w:rPr>
                <w:sz w:val="20"/>
              </w:rPr>
            </w:pPr>
            <w:r>
              <w:rPr>
                <w:w w:val="99"/>
                <w:sz w:val="20"/>
              </w:rPr>
              <w:t>2</w:t>
            </w: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5"/>
              <w:jc w:val="center"/>
              <w:rPr>
                <w:sz w:val="20"/>
              </w:rPr>
            </w:pPr>
            <w:r>
              <w:rPr>
                <w:w w:val="99"/>
                <w:sz w:val="20"/>
              </w:rPr>
              <w:t>3</w:t>
            </w: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30"/>
              <w:jc w:val="center"/>
              <w:rPr>
                <w:sz w:val="20"/>
              </w:rPr>
            </w:pPr>
            <w:r>
              <w:rPr>
                <w:w w:val="99"/>
                <w:sz w:val="20"/>
              </w:rPr>
              <w:t>4</w:t>
            </w: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8"/>
              <w:jc w:val="center"/>
              <w:rPr>
                <w:sz w:val="20"/>
              </w:rPr>
            </w:pPr>
            <w:r>
              <w:rPr>
                <w:w w:val="99"/>
                <w:sz w:val="20"/>
              </w:rPr>
              <w:t>5</w:t>
            </w: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6"/>
              <w:jc w:val="center"/>
              <w:rPr>
                <w:sz w:val="20"/>
              </w:rPr>
            </w:pPr>
            <w:r>
              <w:rPr>
                <w:w w:val="99"/>
                <w:sz w:val="20"/>
              </w:rPr>
              <w:t>6</w:t>
            </w: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9"/>
              <w:jc w:val="center"/>
              <w:rPr>
                <w:sz w:val="20"/>
              </w:rPr>
            </w:pPr>
            <w:r>
              <w:rPr>
                <w:w w:val="99"/>
                <w:sz w:val="20"/>
              </w:rPr>
              <w:t>7</w:t>
            </w: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7"/>
              <w:jc w:val="center"/>
              <w:rPr>
                <w:sz w:val="20"/>
              </w:rPr>
            </w:pPr>
            <w:r>
              <w:rPr>
                <w:w w:val="99"/>
                <w:sz w:val="20"/>
              </w:rPr>
              <w:t>8</w:t>
            </w: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27"/>
              <w:jc w:val="center"/>
              <w:rPr>
                <w:sz w:val="20"/>
              </w:rPr>
            </w:pPr>
            <w:r>
              <w:rPr>
                <w:w w:val="99"/>
                <w:sz w:val="20"/>
              </w:rPr>
              <w:t>9</w:t>
            </w: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153" w:right="125"/>
              <w:jc w:val="center"/>
              <w:rPr>
                <w:sz w:val="20"/>
              </w:rPr>
            </w:pPr>
            <w:r>
              <w:rPr>
                <w:sz w:val="20"/>
              </w:rPr>
              <w:t>10</w:t>
            </w: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488" w:right="459"/>
              <w:jc w:val="center"/>
              <w:rPr>
                <w:sz w:val="20"/>
              </w:rPr>
            </w:pPr>
            <w:r>
              <w:rPr>
                <w:sz w:val="20"/>
              </w:rPr>
              <w:t>11</w:t>
            </w:r>
          </w:p>
        </w:tc>
        <w:tc>
          <w:tcPr>
            <w:tcW w:w="1035" w:type="dxa"/>
            <w:tcBorders>
              <w:top w:val="single" w:color="000000" w:sz="6" w:space="0"/>
              <w:left w:val="single" w:color="000000" w:sz="6" w:space="0"/>
              <w:bottom w:val="single" w:color="000000" w:sz="6" w:space="0"/>
            </w:tcBorders>
            <w:noWrap w:val="0"/>
            <w:vAlign w:val="top"/>
          </w:tcPr>
          <w:p>
            <w:pPr>
              <w:pStyle w:val="11"/>
              <w:spacing w:before="70"/>
              <w:ind w:left="536" w:right="499"/>
              <w:jc w:val="center"/>
              <w:rPr>
                <w:sz w:val="20"/>
              </w:rPr>
            </w:pPr>
            <w:r>
              <w:rPr>
                <w:sz w:val="20"/>
              </w:rPr>
              <w:t>12</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1"/>
              <w:ind w:left="19"/>
              <w:jc w:val="center"/>
              <w:rPr>
                <w:sz w:val="20"/>
              </w:rPr>
            </w:pPr>
            <w:r>
              <w:rPr>
                <w:w w:val="99"/>
                <w:sz w:val="20"/>
              </w:rPr>
              <w:t>1</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1"/>
              <w:ind w:left="122" w:right="94"/>
              <w:jc w:val="center"/>
              <w:rPr>
                <w:sz w:val="20"/>
              </w:rPr>
            </w:pPr>
            <w:r>
              <w:rPr>
                <w:sz w:val="20"/>
              </w:rPr>
              <w:t>前十年度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69"/>
              <w:ind w:left="19"/>
              <w:jc w:val="center"/>
              <w:rPr>
                <w:sz w:val="20"/>
              </w:rPr>
            </w:pPr>
            <w:r>
              <w:rPr>
                <w:w w:val="99"/>
                <w:sz w:val="20"/>
              </w:rPr>
              <w:t>2</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69"/>
              <w:ind w:left="122" w:right="94"/>
              <w:jc w:val="center"/>
              <w:rPr>
                <w:sz w:val="20"/>
              </w:rPr>
            </w:pPr>
            <w:r>
              <w:rPr>
                <w:sz w:val="20"/>
              </w:rPr>
              <w:t>前九年度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0"/>
              <w:ind w:left="19"/>
              <w:jc w:val="center"/>
              <w:rPr>
                <w:sz w:val="20"/>
              </w:rPr>
            </w:pPr>
            <w:r>
              <w:rPr>
                <w:w w:val="99"/>
                <w:sz w:val="20"/>
              </w:rPr>
              <w:t>3</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122" w:right="94"/>
              <w:jc w:val="center"/>
              <w:rPr>
                <w:sz w:val="20"/>
              </w:rPr>
            </w:pPr>
            <w:r>
              <w:rPr>
                <w:sz w:val="20"/>
              </w:rPr>
              <w:t>前八年度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1"/>
              <w:ind w:left="19"/>
              <w:jc w:val="center"/>
              <w:rPr>
                <w:sz w:val="20"/>
              </w:rPr>
            </w:pPr>
            <w:r>
              <w:rPr>
                <w:w w:val="99"/>
                <w:sz w:val="20"/>
              </w:rPr>
              <w:t>4</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1"/>
              <w:ind w:left="122" w:right="94"/>
              <w:jc w:val="center"/>
              <w:rPr>
                <w:sz w:val="20"/>
              </w:rPr>
            </w:pPr>
            <w:r>
              <w:rPr>
                <w:sz w:val="20"/>
              </w:rPr>
              <w:t>前七年度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69"/>
              <w:ind w:left="19"/>
              <w:jc w:val="center"/>
              <w:rPr>
                <w:sz w:val="20"/>
              </w:rPr>
            </w:pPr>
            <w:r>
              <w:rPr>
                <w:w w:val="99"/>
                <w:sz w:val="20"/>
              </w:rPr>
              <w:t>5</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69"/>
              <w:ind w:left="122" w:right="94"/>
              <w:jc w:val="center"/>
              <w:rPr>
                <w:sz w:val="20"/>
              </w:rPr>
            </w:pPr>
            <w:r>
              <w:rPr>
                <w:sz w:val="20"/>
              </w:rPr>
              <w:t>前六年度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0"/>
              <w:ind w:left="19"/>
              <w:jc w:val="center"/>
              <w:rPr>
                <w:sz w:val="20"/>
              </w:rPr>
            </w:pPr>
            <w:r>
              <w:rPr>
                <w:w w:val="99"/>
                <w:sz w:val="20"/>
              </w:rPr>
              <w:t>6</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122" w:right="94"/>
              <w:jc w:val="center"/>
              <w:rPr>
                <w:sz w:val="20"/>
              </w:rPr>
            </w:pPr>
            <w:r>
              <w:rPr>
                <w:sz w:val="20"/>
              </w:rPr>
              <w:t>前五年度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1"/>
              <w:ind w:left="19"/>
              <w:jc w:val="center"/>
              <w:rPr>
                <w:sz w:val="20"/>
              </w:rPr>
            </w:pPr>
            <w:r>
              <w:rPr>
                <w:w w:val="99"/>
                <w:sz w:val="20"/>
              </w:rPr>
              <w:t>7</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1"/>
              <w:ind w:left="122" w:right="94"/>
              <w:jc w:val="center"/>
              <w:rPr>
                <w:sz w:val="20"/>
              </w:rPr>
            </w:pPr>
            <w:r>
              <w:rPr>
                <w:sz w:val="20"/>
              </w:rPr>
              <w:t>前四年度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69"/>
              <w:ind w:left="19"/>
              <w:jc w:val="center"/>
              <w:rPr>
                <w:sz w:val="20"/>
              </w:rPr>
            </w:pPr>
            <w:r>
              <w:rPr>
                <w:w w:val="99"/>
                <w:sz w:val="20"/>
              </w:rPr>
              <w:t>8</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69"/>
              <w:ind w:left="122" w:right="94"/>
              <w:jc w:val="center"/>
              <w:rPr>
                <w:sz w:val="20"/>
              </w:rPr>
            </w:pPr>
            <w:r>
              <w:rPr>
                <w:sz w:val="20"/>
              </w:rPr>
              <w:t>前三年度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0"/>
              <w:ind w:left="19"/>
              <w:jc w:val="center"/>
              <w:rPr>
                <w:sz w:val="20"/>
              </w:rPr>
            </w:pPr>
            <w:r>
              <w:rPr>
                <w:w w:val="99"/>
                <w:sz w:val="20"/>
              </w:rPr>
              <w:t>9</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0"/>
              <w:ind w:left="122" w:right="94"/>
              <w:jc w:val="center"/>
              <w:rPr>
                <w:sz w:val="20"/>
              </w:rPr>
            </w:pPr>
            <w:r>
              <w:rPr>
                <w:sz w:val="20"/>
              </w:rPr>
              <w:t>前二年度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6"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71"/>
              <w:ind w:left="92" w:right="73"/>
              <w:jc w:val="center"/>
              <w:rPr>
                <w:sz w:val="20"/>
              </w:rPr>
            </w:pPr>
            <w:r>
              <w:rPr>
                <w:sz w:val="20"/>
              </w:rPr>
              <w:t>10</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1"/>
              <w:ind w:left="122" w:right="94"/>
              <w:jc w:val="center"/>
              <w:rPr>
                <w:sz w:val="20"/>
              </w:rPr>
            </w:pPr>
            <w:r>
              <w:rPr>
                <w:sz w:val="20"/>
              </w:rPr>
              <w:t>前一年度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7" w:hRule="atLeast"/>
          <w:jc w:val="center"/>
        </w:trPr>
        <w:tc>
          <w:tcPr>
            <w:tcW w:w="502" w:type="dxa"/>
            <w:tcBorders>
              <w:top w:val="single" w:color="000000" w:sz="6" w:space="0"/>
              <w:bottom w:val="single" w:color="000000" w:sz="6" w:space="0"/>
              <w:right w:val="single" w:color="000000" w:sz="6" w:space="0"/>
            </w:tcBorders>
            <w:noWrap w:val="0"/>
            <w:vAlign w:val="top"/>
          </w:tcPr>
          <w:p>
            <w:pPr>
              <w:pStyle w:val="11"/>
              <w:spacing w:before="69"/>
              <w:ind w:left="92" w:right="73"/>
              <w:jc w:val="center"/>
              <w:rPr>
                <w:sz w:val="20"/>
              </w:rPr>
            </w:pPr>
            <w:r>
              <w:rPr>
                <w:sz w:val="20"/>
              </w:rPr>
              <w:t>11</w:t>
            </w:r>
          </w:p>
        </w:tc>
        <w:tc>
          <w:tcPr>
            <w:tcW w:w="854"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69"/>
              <w:ind w:left="119" w:right="94"/>
              <w:jc w:val="center"/>
              <w:rPr>
                <w:sz w:val="20"/>
              </w:rPr>
            </w:pPr>
            <w:r>
              <w:rPr>
                <w:sz w:val="20"/>
              </w:rPr>
              <w:t>本年度</w:t>
            </w:r>
          </w:p>
        </w:tc>
        <w:tc>
          <w:tcPr>
            <w:tcW w:w="49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66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88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71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0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95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20"/>
              </w:rPr>
            </w:pPr>
          </w:p>
        </w:tc>
        <w:tc>
          <w:tcPr>
            <w:tcW w:w="103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7" w:hRule="atLeast"/>
          <w:jc w:val="center"/>
        </w:trPr>
        <w:tc>
          <w:tcPr>
            <w:tcW w:w="502" w:type="dxa"/>
            <w:tcBorders>
              <w:top w:val="single" w:color="000000" w:sz="6" w:space="0"/>
              <w:right w:val="single" w:color="000000" w:sz="6" w:space="0"/>
            </w:tcBorders>
            <w:noWrap w:val="0"/>
            <w:vAlign w:val="top"/>
          </w:tcPr>
          <w:p>
            <w:pPr>
              <w:pStyle w:val="11"/>
              <w:spacing w:before="82"/>
              <w:ind w:left="92" w:right="73"/>
              <w:jc w:val="center"/>
              <w:rPr>
                <w:sz w:val="20"/>
              </w:rPr>
            </w:pPr>
            <w:r>
              <w:rPr>
                <w:sz w:val="20"/>
              </w:rPr>
              <w:t>12</w:t>
            </w:r>
          </w:p>
        </w:tc>
        <w:tc>
          <w:tcPr>
            <w:tcW w:w="9609" w:type="dxa"/>
            <w:gridSpan w:val="12"/>
            <w:tcBorders>
              <w:top w:val="single" w:color="000000" w:sz="6" w:space="0"/>
              <w:left w:val="single" w:color="000000" w:sz="6" w:space="0"/>
              <w:right w:val="single" w:color="000000" w:sz="6" w:space="0"/>
            </w:tcBorders>
            <w:noWrap w:val="0"/>
            <w:vAlign w:val="top"/>
          </w:tcPr>
          <w:p>
            <w:pPr>
              <w:pStyle w:val="11"/>
              <w:spacing w:before="82"/>
              <w:ind w:right="84"/>
              <w:jc w:val="right"/>
              <w:rPr>
                <w:sz w:val="20"/>
              </w:rPr>
            </w:pPr>
            <w:r>
              <w:rPr>
                <w:w w:val="95"/>
                <w:sz w:val="20"/>
              </w:rPr>
              <w:t>可结转以后年度弥补的亏损额合计</w:t>
            </w:r>
          </w:p>
        </w:tc>
        <w:tc>
          <w:tcPr>
            <w:tcW w:w="1035" w:type="dxa"/>
            <w:tcBorders>
              <w:top w:val="single" w:color="000000" w:sz="6" w:space="0"/>
              <w:left w:val="single" w:color="000000" w:sz="6" w:space="0"/>
            </w:tcBorders>
            <w:noWrap w:val="0"/>
            <w:vAlign w:val="top"/>
          </w:tcPr>
          <w:p>
            <w:pPr>
              <w:pStyle w:val="11"/>
              <w:rPr>
                <w:rFonts w:ascii="Times New Roman"/>
                <w:sz w:val="20"/>
              </w:rPr>
            </w:pPr>
          </w:p>
        </w:tc>
      </w:tr>
    </w:tbl>
    <w:p>
      <w:pPr>
        <w:pStyle w:val="4"/>
        <w:bidi w:val="0"/>
        <w:rPr>
          <w:rFonts w:hint="eastAsia"/>
          <w:lang w:eastAsia="zh-CN"/>
        </w:rPr>
      </w:pPr>
      <w:r>
        <w:rPr>
          <w:rFonts w:hint="eastAsia"/>
          <w:lang w:eastAsia="zh-CN"/>
        </w:rPr>
        <w:t>A106000</w:t>
      </w:r>
      <w:r>
        <w:rPr>
          <w:rFonts w:hint="eastAsia"/>
          <w:lang w:eastAsia="zh-CN"/>
        </w:rPr>
        <w:tab/>
      </w:r>
      <w:r>
        <w:rPr>
          <w:rFonts w:hint="eastAsia"/>
          <w:lang w:eastAsia="zh-CN"/>
        </w:rPr>
        <w:t>《企业所得税弥补亏损明细表》填报说明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本表适用于发生弥补亏损、亏损结转等事项的纳税人填报。纳税人应当根据税法、《财政部 税务总局关于延长高新技术企业和科技型中小企业亏损结转年限的通知》（财税〔2018〕76 号）、《国家税务总局关于延长高新技术企业和科技型中小企业亏损结转弥补年限有关企业所得税处理问题的公告》（2018 年第 45 号）、《财政部 国家税务总局关于支持新型冠状病毒感染的肺炎疫情防控有关税收政策的公告》（2020 年第 8 号）、《财政部 税务总局关于电影等行业税费支持政策的公告》（2020 年第 25 号）、《财政部 税务总局 发展改革委 工业和信息化部关于促进集成电路和软件产业高质量发展企业所得税政策的公告》（2020 年第 45 号）等相关规定，填报本表。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纳税人弥补以前年度亏损时，应按照“先到期亏损先弥补、同时到期亏损先发生的先弥补”的原则处理。</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列“年度”：填报公历年度。纳税人应首先填报第 11 行“本年度”对应的公历年度，再依次从第 10 行往第 1 行倒推填报以前年度。纳税人发生政策性搬迁事项， 如停止生产经营活动年度可以从法定亏损结转弥补年限中减除，则按可弥补亏损年度进行填报。本年度是指申报所属期年度，如：纳税人在 2019 年 5 月 10 日进行 2018 年度企业所得税年度纳税申报时，本年度（申报所属期年度）为 2018 年。</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列“当年境内所得额”：第 11 行填报表 A100000 第 19-20 行金额。第 1 行至第 10 行填报以前年度主表第 23 行（2013 年及以前纳税年度）、以前年度表 A106000 第 6 行第 2 列（2014 至 2017 纳税年度）、以前年度表 A106000 第 11 行第 2 列的金额（亏损以负数表示）。发生查补以前年度应纳税所得额、追补以前年度未能税前扣除的实际资产损失等情况的，按照相应调整后的金额填报。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列“分立转出的亏损额”： 填报本年度企业分立按照企业重组特殊性税务处理规定转出的符合条件的亏损额。分立转出的亏损额按亏损所属年度填报，转出亏损的亏损额以正数表示。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列“合并、分立转入的亏损额-可弥补年限 5 年”：填报企业符合企业重组特殊性税务处理规定，因合并或分立本年度转入的不超过 5 年亏损弥补年限规定的亏损额。合并、分立转入的亏损额按亏损所属年度填报，转入的亏损额以负数表示。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列“合并、分立转入的亏损额-可弥补年限 8 年”：填报企业符合企业重组特殊性税务处理规定，因合并或分立本年度转入的不超过 8 年亏损弥补年限规定的亏损额。合并、分立转入的亏损额按亏损所属年度填报，转入的亏损额以负数表示。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列“合并、分立转入的亏损额-可弥补年限 10 年”：填报企业符合企业重组特殊性税务处理规定，因合并或分立本年度转入的不超过 10 年亏损弥补年限规定的亏损额。合并、分立转入的亏损额按亏损所属年度填报，转入的亏损额以负数表示。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列“弥补亏损企业类型”：纳税人根据不同年度情况从《弥补亏损企业类型代码表》中选择相应的代码填入本项。不同类型纳税人的亏损结转年限不同，纳税人选择 “一般企业”是指亏损结转年限为 5 年的纳税人；“符合条件的高新技术企业” “符合条件的科技型中小企业”是指符合《财政部 税务总局关于延长高新技术企业和科技型中小企业亏损结转年限的通知》（财税〔2018〕76 号）、《国家税务总局关于延长高新技术企业和科技型中小企业亏损结转弥补年限有关企业所得税处理问题的公告》（2018 年第 45 号）等文件规定，亏损结转年限为 10 年的纳税人；“线宽小于 130 纳米（含）的集成电路生产企业”是指符合《财政部 税务总局 发展改革委 工业和信息化部关于促进集成电路和软件产业高质量发展企业所得税政策的公告》（2020 年第 45 号） 等文件规定，亏损结转年限为 10 年的纳税人；“受疫情影响困难行业企业”是指符合《财政部 税务总局关于支持新型冠状病毒感染的肺炎疫情防控有关税收政策的公告》（2020 年第 8 号）等文件规定的受疫情影响较大的困难行业企业 2020 年度发生的亏损，最长结转年限由 5 年延长至 8 年的纳税人；“电影行业企业”是指《财政部 税务总局关于电影等行业税费支持政策的公告》（2020 年第 25 号）规定的电影行业企业 2020年度发生的亏损，最长结转年限由 5 年延长至 8 年的纳税人。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列“当年亏损额”：填报纳税人各年度可弥补亏损额的合计金额。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列“当年待弥补的亏损额”：填报在用本年度（申报所属期年度）所得额弥补亏损前，当年度尚未被弥补的亏损额。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10 列“用本年度所得额弥补的以前年度亏损额-使用境内所得弥补”：第 1行至第 10 行，当第 11 行第 2 列本年度（申报所属期年度）的“当年境内所得额”＞0 时，填报各年度被本年度（申报所属期年度）境内所得依次弥补的亏损额，弥补的顺序是按照亏损到期的年限优先弥补到期时间近的亏损额，亏损到期年限相同则先弥补更早发生的亏损额，弥补的亏损额以正数表示。本列第 11 行，填报本列第 1 行至第 10 行的合计金额，表 A100000 第 21 行填报本项金额。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11 列“用本年度所得额弥补的以前年度亏损额-使用境外所得弥补”：第 1行至第 10 行，当纳税人选择用境外所得弥补境内以前年度亏损的，填报各年度被本年度（申报所属期年度）境外所得依次弥补的亏损额，弥补的顺序是按照亏损到期的年限优先弥补到期时间近的亏损额，亏损到期年限相同则先弥补更早发生的亏损额，弥补的亏损额以正数表示。本列第 11 行，填报本列第 1 行至第 10 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 12 列“当年可结转以后年度弥补的亏损额”：第 1 行至第 11 行，填报各年度尚未弥补完的且准予结转以后年度弥补的亏损额，结转以后年度弥补的亏损额以正数表示。本列第 12 行，填报本列第 1 行至第 11 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1、当第 2 列＜0 且第 3 列＞0 时，第 3 列＜第 2 列的绝对值；当第 2 列≥0 时，则第3 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10 列第 11 行＝第 10 列第 1+2+3+4+5+6+7+8+9+10 行；当第 2 列第 11 行≤0时，第 10 列第 1 行至第 11 行＝0；当第 2 列第 11 行＞0 时，第 10 列第 11 行≤第 2 列第 11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11 列第 11 行＝第 11 列第 1+2+3+4+5+6+7+8+9+10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12 列第 12 行＝第 12 列第 1+2+3+4+5+6+7+8+9+10+11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 行第 12 列＝0；第 2 至 10 行第 12 列＝第 9 列的绝对值-第 10 列-第 11 列；第 11 行第 12 列＝第 9 列的绝对值。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11 行第 2 列＝表 A100000 第 19-20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11 行第 10 列＝表 A100000 第 21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11 行第 11 列＝表 A108000 第 10 行第 6 列-表 A100000 第 18 行。</w:t>
      </w:r>
    </w:p>
    <w:p>
      <w:pPr>
        <w:bidi w:val="0"/>
        <w:jc w:val="center"/>
        <w:rPr>
          <w:rFonts w:hint="eastAsia"/>
          <w:b/>
          <w:bCs/>
        </w:rPr>
      </w:pPr>
      <w:r>
        <w:rPr>
          <w:rFonts w:hint="eastAsia"/>
          <w:b/>
          <w:bCs/>
        </w:rPr>
        <w:t>弥补亏损企业类型代码表</w:t>
      </w:r>
    </w:p>
    <w:p>
      <w:pPr>
        <w:pStyle w:val="6"/>
        <w:spacing w:before="4"/>
        <w:ind w:left="0"/>
        <w:rPr>
          <w:b/>
          <w:sz w:val="12"/>
        </w:rPr>
      </w:pPr>
    </w:p>
    <w:tbl>
      <w:tblPr>
        <w:tblStyle w:val="8"/>
        <w:tblW w:w="6931"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96"/>
        <w:gridCol w:w="583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jc w:val="center"/>
        </w:trPr>
        <w:tc>
          <w:tcPr>
            <w:tcW w:w="1096" w:type="dxa"/>
            <w:tcBorders>
              <w:bottom w:val="single" w:color="000000" w:sz="6" w:space="0"/>
              <w:right w:val="single" w:color="000000" w:sz="6" w:space="0"/>
            </w:tcBorders>
            <w:noWrap w:val="0"/>
            <w:vAlign w:val="top"/>
          </w:tcPr>
          <w:p>
            <w:pPr>
              <w:pStyle w:val="11"/>
              <w:spacing w:before="12" w:line="251" w:lineRule="exact"/>
              <w:ind w:right="324"/>
              <w:jc w:val="right"/>
              <w:rPr>
                <w:b/>
                <w:sz w:val="20"/>
              </w:rPr>
            </w:pPr>
            <w:r>
              <w:rPr>
                <w:b/>
                <w:w w:val="95"/>
                <w:sz w:val="20"/>
              </w:rPr>
              <w:t>代码</w:t>
            </w:r>
          </w:p>
        </w:tc>
        <w:tc>
          <w:tcPr>
            <w:tcW w:w="5835" w:type="dxa"/>
            <w:tcBorders>
              <w:left w:val="single" w:color="000000" w:sz="6" w:space="0"/>
              <w:bottom w:val="single" w:color="000000" w:sz="6" w:space="0"/>
            </w:tcBorders>
            <w:noWrap w:val="0"/>
            <w:vAlign w:val="top"/>
          </w:tcPr>
          <w:p>
            <w:pPr>
              <w:pStyle w:val="11"/>
              <w:spacing w:before="3"/>
              <w:ind w:left="2702" w:right="2667"/>
              <w:jc w:val="center"/>
              <w:rPr>
                <w:b/>
                <w:sz w:val="20"/>
              </w:rPr>
            </w:pPr>
            <w:r>
              <w:rPr>
                <w:b/>
                <w:sz w:val="20"/>
              </w:rPr>
              <w:t>类型</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jc w:val="center"/>
        </w:trPr>
        <w:tc>
          <w:tcPr>
            <w:tcW w:w="1096" w:type="dxa"/>
            <w:tcBorders>
              <w:top w:val="single" w:color="000000" w:sz="6" w:space="0"/>
              <w:bottom w:val="single" w:color="000000" w:sz="6" w:space="0"/>
              <w:right w:val="single" w:color="000000" w:sz="6" w:space="0"/>
            </w:tcBorders>
            <w:noWrap w:val="0"/>
            <w:vAlign w:val="top"/>
          </w:tcPr>
          <w:p>
            <w:pPr>
              <w:pStyle w:val="11"/>
              <w:spacing w:before="12" w:line="251" w:lineRule="exact"/>
              <w:ind w:right="373"/>
              <w:jc w:val="right"/>
              <w:rPr>
                <w:sz w:val="20"/>
              </w:rPr>
            </w:pPr>
            <w:r>
              <w:rPr>
                <w:sz w:val="20"/>
              </w:rPr>
              <w:t>100</w:t>
            </w:r>
          </w:p>
        </w:tc>
        <w:tc>
          <w:tcPr>
            <w:tcW w:w="5835" w:type="dxa"/>
            <w:tcBorders>
              <w:top w:val="single" w:color="000000" w:sz="6" w:space="0"/>
              <w:left w:val="single" w:color="000000" w:sz="6" w:space="0"/>
              <w:bottom w:val="single" w:color="000000" w:sz="6" w:space="0"/>
            </w:tcBorders>
            <w:noWrap w:val="0"/>
            <w:vAlign w:val="top"/>
          </w:tcPr>
          <w:p>
            <w:pPr>
              <w:pStyle w:val="11"/>
              <w:spacing w:before="2"/>
              <w:ind w:left="115"/>
              <w:rPr>
                <w:sz w:val="20"/>
              </w:rPr>
            </w:pPr>
            <w:r>
              <w:rPr>
                <w:sz w:val="20"/>
              </w:rPr>
              <w:t>一般企业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jc w:val="center"/>
        </w:trPr>
        <w:tc>
          <w:tcPr>
            <w:tcW w:w="1096" w:type="dxa"/>
            <w:tcBorders>
              <w:top w:val="single" w:color="000000" w:sz="6" w:space="0"/>
              <w:bottom w:val="single" w:color="000000" w:sz="6" w:space="0"/>
              <w:right w:val="single" w:color="000000" w:sz="6" w:space="0"/>
            </w:tcBorders>
            <w:noWrap w:val="0"/>
            <w:vAlign w:val="top"/>
          </w:tcPr>
          <w:p>
            <w:pPr>
              <w:pStyle w:val="11"/>
              <w:spacing w:before="14" w:line="249" w:lineRule="exact"/>
              <w:ind w:right="373"/>
              <w:jc w:val="right"/>
              <w:rPr>
                <w:sz w:val="20"/>
              </w:rPr>
            </w:pPr>
            <w:r>
              <w:rPr>
                <w:sz w:val="20"/>
              </w:rPr>
              <w:t>200</w:t>
            </w:r>
          </w:p>
        </w:tc>
        <w:tc>
          <w:tcPr>
            <w:tcW w:w="5835" w:type="dxa"/>
            <w:tcBorders>
              <w:top w:val="single" w:color="000000" w:sz="6" w:space="0"/>
              <w:left w:val="single" w:color="000000" w:sz="6" w:space="0"/>
              <w:bottom w:val="single" w:color="000000" w:sz="6" w:space="0"/>
            </w:tcBorders>
            <w:noWrap w:val="0"/>
            <w:vAlign w:val="top"/>
          </w:tcPr>
          <w:p>
            <w:pPr>
              <w:pStyle w:val="11"/>
              <w:spacing w:before="2"/>
              <w:ind w:left="115"/>
              <w:rPr>
                <w:sz w:val="20"/>
              </w:rPr>
            </w:pPr>
            <w:r>
              <w:rPr>
                <w:sz w:val="20"/>
              </w:rPr>
              <w:t>符合条件的高新技术企业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jc w:val="center"/>
        </w:trPr>
        <w:tc>
          <w:tcPr>
            <w:tcW w:w="1096" w:type="dxa"/>
            <w:tcBorders>
              <w:top w:val="single" w:color="000000" w:sz="6" w:space="0"/>
              <w:bottom w:val="single" w:color="000000" w:sz="6" w:space="0"/>
              <w:right w:val="single" w:color="000000" w:sz="6" w:space="0"/>
            </w:tcBorders>
            <w:noWrap w:val="0"/>
            <w:vAlign w:val="top"/>
          </w:tcPr>
          <w:p>
            <w:pPr>
              <w:pStyle w:val="11"/>
              <w:spacing w:before="13" w:line="249" w:lineRule="exact"/>
              <w:ind w:right="373"/>
              <w:jc w:val="right"/>
              <w:rPr>
                <w:sz w:val="20"/>
              </w:rPr>
            </w:pPr>
            <w:r>
              <w:rPr>
                <w:sz w:val="20"/>
              </w:rPr>
              <w:t>300</w:t>
            </w:r>
          </w:p>
        </w:tc>
        <w:tc>
          <w:tcPr>
            <w:tcW w:w="5835" w:type="dxa"/>
            <w:tcBorders>
              <w:top w:val="single" w:color="000000" w:sz="6" w:space="0"/>
              <w:left w:val="single" w:color="000000" w:sz="6" w:space="0"/>
              <w:bottom w:val="single" w:color="000000" w:sz="6" w:space="0"/>
            </w:tcBorders>
            <w:noWrap w:val="0"/>
            <w:vAlign w:val="top"/>
          </w:tcPr>
          <w:p>
            <w:pPr>
              <w:pStyle w:val="11"/>
              <w:spacing w:before="1"/>
              <w:ind w:left="115"/>
              <w:rPr>
                <w:sz w:val="20"/>
              </w:rPr>
            </w:pPr>
            <w:r>
              <w:rPr>
                <w:sz w:val="20"/>
              </w:rPr>
              <w:t>符合条件的科技型中小企业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jc w:val="center"/>
        </w:trPr>
        <w:tc>
          <w:tcPr>
            <w:tcW w:w="1096" w:type="dxa"/>
            <w:tcBorders>
              <w:top w:val="single" w:color="000000" w:sz="6" w:space="0"/>
              <w:bottom w:val="single" w:color="000000" w:sz="6" w:space="0"/>
              <w:right w:val="single" w:color="000000" w:sz="6" w:space="0"/>
            </w:tcBorders>
            <w:noWrap w:val="0"/>
            <w:vAlign w:val="top"/>
          </w:tcPr>
          <w:p>
            <w:pPr>
              <w:pStyle w:val="11"/>
              <w:spacing w:before="13" w:line="250" w:lineRule="exact"/>
              <w:ind w:right="373"/>
              <w:jc w:val="right"/>
              <w:rPr>
                <w:sz w:val="20"/>
              </w:rPr>
            </w:pPr>
            <w:r>
              <w:rPr>
                <w:sz w:val="20"/>
              </w:rPr>
              <w:t>400</w:t>
            </w:r>
          </w:p>
        </w:tc>
        <w:tc>
          <w:tcPr>
            <w:tcW w:w="5835" w:type="dxa"/>
            <w:tcBorders>
              <w:top w:val="single" w:color="000000" w:sz="6" w:space="0"/>
              <w:left w:val="single" w:color="000000" w:sz="6" w:space="0"/>
              <w:bottom w:val="single" w:color="000000" w:sz="6" w:space="0"/>
            </w:tcBorders>
            <w:noWrap w:val="0"/>
            <w:vAlign w:val="top"/>
          </w:tcPr>
          <w:p>
            <w:pPr>
              <w:pStyle w:val="11"/>
              <w:spacing w:before="1"/>
              <w:ind w:left="115"/>
              <w:rPr>
                <w:sz w:val="20"/>
              </w:rPr>
            </w:pPr>
            <w:r>
              <w:rPr>
                <w:sz w:val="20"/>
              </w:rPr>
              <w:t>线宽小于 130 纳米(含)的集成电路生产企业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jc w:val="center"/>
        </w:trPr>
        <w:tc>
          <w:tcPr>
            <w:tcW w:w="1096" w:type="dxa"/>
            <w:tcBorders>
              <w:top w:val="single" w:color="000000" w:sz="6" w:space="0"/>
              <w:bottom w:val="single" w:color="000000" w:sz="6" w:space="0"/>
              <w:right w:val="single" w:color="000000" w:sz="6" w:space="0"/>
            </w:tcBorders>
            <w:noWrap w:val="0"/>
            <w:vAlign w:val="top"/>
          </w:tcPr>
          <w:p>
            <w:pPr>
              <w:pStyle w:val="11"/>
              <w:spacing w:before="13" w:line="250" w:lineRule="exact"/>
              <w:ind w:right="373"/>
              <w:jc w:val="right"/>
              <w:rPr>
                <w:sz w:val="20"/>
              </w:rPr>
            </w:pPr>
            <w:r>
              <w:rPr>
                <w:sz w:val="20"/>
              </w:rPr>
              <w:t>500</w:t>
            </w:r>
          </w:p>
        </w:tc>
        <w:tc>
          <w:tcPr>
            <w:tcW w:w="5835" w:type="dxa"/>
            <w:tcBorders>
              <w:top w:val="single" w:color="000000" w:sz="6" w:space="0"/>
              <w:left w:val="single" w:color="000000" w:sz="6" w:space="0"/>
              <w:bottom w:val="single" w:color="000000" w:sz="6" w:space="0"/>
            </w:tcBorders>
            <w:noWrap w:val="0"/>
            <w:vAlign w:val="top"/>
          </w:tcPr>
          <w:p>
            <w:pPr>
              <w:pStyle w:val="11"/>
              <w:spacing w:before="3"/>
              <w:ind w:left="115"/>
              <w:rPr>
                <w:sz w:val="20"/>
              </w:rPr>
            </w:pPr>
            <w:r>
              <w:rPr>
                <w:sz w:val="20"/>
              </w:rPr>
              <w:t>受疫情影响困难行业企业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jc w:val="center"/>
        </w:trPr>
        <w:tc>
          <w:tcPr>
            <w:tcW w:w="1096" w:type="dxa"/>
            <w:tcBorders>
              <w:top w:val="single" w:color="000000" w:sz="6" w:space="0"/>
              <w:right w:val="single" w:color="000000" w:sz="6" w:space="0"/>
            </w:tcBorders>
            <w:noWrap w:val="0"/>
            <w:vAlign w:val="top"/>
          </w:tcPr>
          <w:p>
            <w:pPr>
              <w:pStyle w:val="11"/>
              <w:spacing w:before="12" w:line="250" w:lineRule="exact"/>
              <w:ind w:right="373"/>
              <w:jc w:val="right"/>
              <w:rPr>
                <w:sz w:val="20"/>
              </w:rPr>
            </w:pPr>
            <w:r>
              <w:rPr>
                <w:sz w:val="20"/>
              </w:rPr>
              <w:t>600</w:t>
            </w:r>
          </w:p>
        </w:tc>
        <w:tc>
          <w:tcPr>
            <w:tcW w:w="5835" w:type="dxa"/>
            <w:tcBorders>
              <w:top w:val="single" w:color="000000" w:sz="6" w:space="0"/>
              <w:left w:val="single" w:color="000000" w:sz="6" w:space="0"/>
            </w:tcBorders>
            <w:noWrap w:val="0"/>
            <w:vAlign w:val="top"/>
          </w:tcPr>
          <w:p>
            <w:pPr>
              <w:pStyle w:val="11"/>
              <w:spacing w:before="3"/>
              <w:ind w:left="115"/>
              <w:rPr>
                <w:sz w:val="20"/>
              </w:rPr>
            </w:pPr>
            <w:r>
              <w:rPr>
                <w:sz w:val="20"/>
              </w:rPr>
              <w:t>电影行业企业</w:t>
            </w:r>
          </w:p>
        </w:tc>
      </w:tr>
    </w:tbl>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A107010</w:t>
      </w:r>
      <w:r>
        <w:rPr>
          <w:rFonts w:hint="eastAsia"/>
          <w:lang w:eastAsia="zh-CN"/>
        </w:rPr>
        <w:tab/>
      </w:r>
      <w:r>
        <w:rPr>
          <w:rFonts w:hint="eastAsia"/>
          <w:lang w:eastAsia="zh-CN"/>
        </w:rPr>
        <w:t>免税、减计收入及加计扣除优惠明细表</w:t>
      </w:r>
    </w:p>
    <w:tbl>
      <w:tblPr>
        <w:tblStyle w:val="8"/>
        <w:tblW w:w="99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6"/>
        <w:gridCol w:w="8246"/>
        <w:gridCol w:w="10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656" w:type="dxa"/>
            <w:tcBorders>
              <w:top w:val="single" w:color="auto" w:sz="12"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行次</w:t>
            </w:r>
          </w:p>
        </w:tc>
        <w:tc>
          <w:tcPr>
            <w:tcW w:w="8246"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项</w:t>
            </w:r>
            <w:r>
              <w:rPr>
                <w:rFonts w:ascii="宋体" w:hAnsi="宋体" w:cs="宋体"/>
                <w:kern w:val="0"/>
                <w:sz w:val="20"/>
                <w:szCs w:val="20"/>
              </w:rPr>
              <w:t xml:space="preserve">    </w:t>
            </w:r>
            <w:r>
              <w:rPr>
                <w:rFonts w:hint="eastAsia" w:ascii="宋体" w:hAnsi="宋体" w:cs="宋体"/>
                <w:kern w:val="0"/>
                <w:sz w:val="20"/>
                <w:szCs w:val="20"/>
              </w:rPr>
              <w:t>目</w:t>
            </w:r>
          </w:p>
        </w:tc>
        <w:tc>
          <w:tcPr>
            <w:tcW w:w="1052" w:type="dxa"/>
            <w:tcBorders>
              <w:top w:val="single" w:color="auto" w:sz="12"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金</w:t>
            </w:r>
            <w:r>
              <w:rPr>
                <w:rFonts w:ascii="宋体" w:hAnsi="宋体" w:cs="宋体"/>
                <w:kern w:val="0"/>
                <w:sz w:val="20"/>
                <w:szCs w:val="20"/>
              </w:rPr>
              <w:t xml:space="preserve">    </w:t>
            </w:r>
            <w:r>
              <w:rPr>
                <w:rFonts w:hint="eastAsia" w:ascii="宋体" w:hAnsi="宋体" w:cs="宋体"/>
                <w:kern w:val="0"/>
                <w:sz w:val="20"/>
                <w:szCs w:val="20"/>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一、免税收入（</w:t>
            </w:r>
            <w:r>
              <w:rPr>
                <w:rFonts w:ascii="宋体" w:hAnsi="宋体" w:cs="宋体"/>
                <w:kern w:val="0"/>
                <w:sz w:val="20"/>
                <w:szCs w:val="20"/>
              </w:rPr>
              <w:t>2+3+9+</w:t>
            </w:r>
            <w:r>
              <w:rPr>
                <w:rFonts w:hint="eastAsia" w:ascii="宋体" w:hAnsi="宋体" w:cs="宋体"/>
                <w:kern w:val="0"/>
                <w:sz w:val="20"/>
                <w:szCs w:val="20"/>
              </w:rPr>
              <w:t>…</w:t>
            </w:r>
            <w:r>
              <w:rPr>
                <w:rFonts w:ascii="宋体" w:hAnsi="宋体" w:cs="宋体"/>
                <w:kern w:val="0"/>
                <w:sz w:val="20"/>
                <w:szCs w:val="20"/>
              </w:rPr>
              <w:t>+16</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（一）国债利息收入免征企业所得税</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left="993" w:leftChars="190" w:hanging="594" w:hangingChars="297"/>
              <w:jc w:val="left"/>
              <w:rPr>
                <w:rFonts w:ascii="宋体"/>
                <w:kern w:val="0"/>
                <w:sz w:val="20"/>
                <w:szCs w:val="20"/>
              </w:rPr>
            </w:pPr>
            <w:r>
              <w:rPr>
                <w:rFonts w:hint="eastAsia" w:ascii="宋体" w:hAnsi="宋体" w:cs="宋体"/>
                <w:kern w:val="0"/>
                <w:sz w:val="20"/>
                <w:szCs w:val="20"/>
              </w:rPr>
              <w:t>（二）符合条件的居民企业之间的股息、红利等权益性投资收益免征企业所得税（</w:t>
            </w:r>
            <w:r>
              <w:rPr>
                <w:rFonts w:ascii="宋体" w:hAnsi="宋体" w:cs="宋体"/>
                <w:kern w:val="0"/>
                <w:sz w:val="20"/>
                <w:szCs w:val="20"/>
              </w:rPr>
              <w:t>4+5+6+7+8</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4</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left="1411" w:leftChars="211" w:hanging="968" w:hangingChars="484"/>
              <w:jc w:val="left"/>
              <w:rPr>
                <w:rFonts w:ascii="宋体" w:cs="宋体"/>
                <w:kern w:val="0"/>
                <w:sz w:val="20"/>
                <w:szCs w:val="20"/>
              </w:rPr>
            </w:pPr>
            <w:r>
              <w:rPr>
                <w:rFonts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一般股息红利等权益性投资收益免征企业所得税（填写</w:t>
            </w:r>
            <w:r>
              <w:rPr>
                <w:rFonts w:ascii="宋体" w:hAnsi="宋体" w:cs="宋体"/>
                <w:kern w:val="0"/>
                <w:sz w:val="20"/>
                <w:szCs w:val="20"/>
              </w:rPr>
              <w:t>A107011</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5</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left="1009" w:leftChars="210" w:hanging="568" w:hangingChars="284"/>
              <w:jc w:val="left"/>
              <w:rPr>
                <w:rFonts w:ascii="宋体"/>
                <w:kern w:val="0"/>
                <w:sz w:val="20"/>
                <w:szCs w:val="20"/>
              </w:rPr>
            </w:pPr>
            <w:r>
              <w:rPr>
                <w:rFonts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内地居民企业通过沪港通投资且连续持有</w:t>
            </w:r>
            <w:r>
              <w:rPr>
                <w:rFonts w:ascii="宋体" w:hAnsi="宋体" w:cs="宋体"/>
                <w:kern w:val="0"/>
                <w:sz w:val="20"/>
                <w:szCs w:val="20"/>
              </w:rPr>
              <w:t>H</w:t>
            </w:r>
            <w:r>
              <w:rPr>
                <w:rFonts w:hint="eastAsia" w:ascii="宋体" w:hAnsi="宋体" w:cs="宋体"/>
                <w:kern w:val="0"/>
                <w:sz w:val="20"/>
                <w:szCs w:val="20"/>
              </w:rPr>
              <w:t>股满</w:t>
            </w:r>
            <w:r>
              <w:rPr>
                <w:rFonts w:ascii="宋体" w:hAnsi="宋体" w:cs="宋体"/>
                <w:kern w:val="0"/>
                <w:sz w:val="20"/>
                <w:szCs w:val="20"/>
              </w:rPr>
              <w:t>12</w:t>
            </w:r>
            <w:r>
              <w:rPr>
                <w:rFonts w:hint="eastAsia" w:ascii="宋体" w:hAnsi="宋体" w:cs="宋体"/>
                <w:kern w:val="0"/>
                <w:sz w:val="20"/>
                <w:szCs w:val="20"/>
              </w:rPr>
              <w:t>个月取得的股息红利所得免征企业所得税（填写</w:t>
            </w:r>
            <w:r>
              <w:rPr>
                <w:rFonts w:ascii="宋体" w:hAnsi="宋体" w:cs="宋体"/>
                <w:kern w:val="0"/>
                <w:sz w:val="20"/>
                <w:szCs w:val="20"/>
              </w:rPr>
              <w:t>A107011</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6</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left="1009" w:leftChars="210" w:hanging="568" w:hangingChars="284"/>
              <w:jc w:val="left"/>
              <w:rPr>
                <w:rFonts w:ascii="宋体" w:cs="宋体"/>
                <w:kern w:val="0"/>
                <w:sz w:val="20"/>
                <w:szCs w:val="20"/>
              </w:rPr>
            </w:pPr>
            <w:r>
              <w:rPr>
                <w:rFonts w:ascii="宋体" w:hAnsi="宋体" w:cs="宋体"/>
                <w:kern w:val="0"/>
                <w:sz w:val="20"/>
                <w:szCs w:val="20"/>
              </w:rPr>
              <w:t xml:space="preserve">    3</w:t>
            </w:r>
            <w:r>
              <w:rPr>
                <w:rFonts w:hint="eastAsia" w:ascii="宋体" w:hAnsi="宋体" w:eastAsia="宋体" w:cs="宋体"/>
                <w:kern w:val="0"/>
                <w:sz w:val="20"/>
                <w:szCs w:val="20"/>
                <w:lang w:eastAsia="zh-CN"/>
              </w:rPr>
              <w:t>、</w:t>
            </w:r>
            <w:r>
              <w:rPr>
                <w:rFonts w:hint="eastAsia" w:ascii="宋体" w:hAnsi="宋体" w:cs="宋体"/>
                <w:kern w:val="0"/>
                <w:sz w:val="20"/>
                <w:szCs w:val="20"/>
              </w:rPr>
              <w:t>内地居民企业通过深港通投资且连续持有</w:t>
            </w:r>
            <w:r>
              <w:rPr>
                <w:rFonts w:ascii="宋体" w:hAnsi="宋体" w:cs="宋体"/>
                <w:kern w:val="0"/>
                <w:sz w:val="20"/>
                <w:szCs w:val="20"/>
              </w:rPr>
              <w:t>H</w:t>
            </w:r>
            <w:r>
              <w:rPr>
                <w:rFonts w:hint="eastAsia" w:ascii="宋体" w:hAnsi="宋体" w:cs="宋体"/>
                <w:kern w:val="0"/>
                <w:sz w:val="20"/>
                <w:szCs w:val="20"/>
              </w:rPr>
              <w:t>股满</w:t>
            </w:r>
            <w:r>
              <w:rPr>
                <w:rFonts w:ascii="宋体" w:hAnsi="宋体" w:cs="宋体"/>
                <w:kern w:val="0"/>
                <w:sz w:val="20"/>
                <w:szCs w:val="20"/>
              </w:rPr>
              <w:t>12</w:t>
            </w:r>
            <w:r>
              <w:rPr>
                <w:rFonts w:hint="eastAsia" w:ascii="宋体" w:hAnsi="宋体" w:cs="宋体"/>
                <w:kern w:val="0"/>
                <w:sz w:val="20"/>
                <w:szCs w:val="20"/>
              </w:rPr>
              <w:t>个月取得的股息红利所得免征企业所得税（填写</w:t>
            </w:r>
            <w:r>
              <w:rPr>
                <w:rFonts w:ascii="宋体" w:hAnsi="宋体" w:cs="宋体"/>
                <w:kern w:val="0"/>
                <w:sz w:val="20"/>
                <w:szCs w:val="20"/>
              </w:rPr>
              <w:t>A107011</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cs="宋体"/>
                <w:kern w:val="0"/>
                <w:sz w:val="20"/>
                <w:szCs w:val="20"/>
              </w:rPr>
            </w:pPr>
            <w:r>
              <w:rPr>
                <w:rFonts w:ascii="宋体" w:hAnsi="宋体" w:cs="宋体"/>
                <w:kern w:val="0"/>
                <w:sz w:val="20"/>
                <w:szCs w:val="20"/>
              </w:rPr>
              <w:t>7</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left="1151" w:leftChars="210" w:hanging="710" w:hangingChars="355"/>
              <w:jc w:val="left"/>
              <w:rPr>
                <w:rFonts w:ascii="宋体" w:cs="宋体"/>
                <w:kern w:val="0"/>
                <w:sz w:val="20"/>
                <w:szCs w:val="20"/>
              </w:rPr>
            </w:pPr>
            <w:r>
              <w:rPr>
                <w:rFonts w:ascii="宋体" w:hAnsi="宋体" w:cs="宋体"/>
                <w:kern w:val="0"/>
                <w:sz w:val="20"/>
                <w:szCs w:val="20"/>
              </w:rPr>
              <w:t xml:space="preserve">    4</w:t>
            </w:r>
            <w:r>
              <w:rPr>
                <w:rFonts w:hint="eastAsia" w:ascii="宋体" w:hAnsi="宋体" w:eastAsia="宋体" w:cs="宋体"/>
                <w:kern w:val="0"/>
                <w:sz w:val="20"/>
                <w:szCs w:val="20"/>
                <w:lang w:eastAsia="zh-CN"/>
              </w:rPr>
              <w:t>、</w:t>
            </w:r>
            <w:r>
              <w:rPr>
                <w:rFonts w:hint="eastAsia" w:ascii="宋体" w:hAnsi="宋体" w:cs="宋体"/>
                <w:kern w:val="0"/>
                <w:sz w:val="20"/>
                <w:szCs w:val="20"/>
              </w:rPr>
              <w:t>居民企业持有创新企业</w:t>
            </w:r>
            <w:r>
              <w:rPr>
                <w:rFonts w:ascii="宋体" w:hAnsi="宋体" w:cs="宋体"/>
                <w:kern w:val="0"/>
                <w:sz w:val="20"/>
                <w:szCs w:val="20"/>
              </w:rPr>
              <w:t>CDR</w:t>
            </w:r>
            <w:r>
              <w:rPr>
                <w:rFonts w:hint="eastAsia" w:ascii="宋体" w:hAnsi="宋体" w:cs="宋体"/>
                <w:kern w:val="0"/>
                <w:sz w:val="20"/>
                <w:szCs w:val="20"/>
              </w:rPr>
              <w:t>取得的股息红利所得免征企业所得税（填写</w:t>
            </w:r>
            <w:r>
              <w:rPr>
                <w:rFonts w:ascii="宋体" w:hAnsi="宋体" w:cs="宋体"/>
                <w:kern w:val="0"/>
                <w:sz w:val="20"/>
                <w:szCs w:val="20"/>
              </w:rPr>
              <w:t>A107011</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cs="宋体"/>
                <w:kern w:val="0"/>
                <w:sz w:val="20"/>
                <w:szCs w:val="20"/>
              </w:rPr>
            </w:pPr>
            <w:r>
              <w:rPr>
                <w:rFonts w:ascii="宋体" w:hAnsi="宋体" w:cs="宋体"/>
                <w:kern w:val="0"/>
                <w:sz w:val="20"/>
                <w:szCs w:val="20"/>
              </w:rPr>
              <w:t>8</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left="1411" w:leftChars="211" w:hanging="968" w:hangingChars="484"/>
              <w:jc w:val="left"/>
              <w:rPr>
                <w:rFonts w:ascii="宋体" w:cs="宋体"/>
                <w:kern w:val="0"/>
                <w:sz w:val="20"/>
                <w:szCs w:val="20"/>
              </w:rPr>
            </w:pPr>
            <w:r>
              <w:rPr>
                <w:rFonts w:ascii="宋体" w:hAnsi="宋体" w:cs="宋体"/>
                <w:kern w:val="0"/>
                <w:sz w:val="20"/>
                <w:szCs w:val="20"/>
              </w:rPr>
              <w:t xml:space="preserve">    5</w:t>
            </w:r>
            <w:r>
              <w:rPr>
                <w:rFonts w:hint="eastAsia" w:ascii="宋体" w:hAnsi="宋体" w:eastAsia="宋体" w:cs="宋体"/>
                <w:kern w:val="0"/>
                <w:sz w:val="20"/>
                <w:szCs w:val="20"/>
                <w:lang w:eastAsia="zh-CN"/>
              </w:rPr>
              <w:t>、</w:t>
            </w:r>
            <w:r>
              <w:rPr>
                <w:rFonts w:hint="eastAsia" w:ascii="宋体" w:hAnsi="宋体" w:cs="宋体"/>
                <w:kern w:val="0"/>
                <w:sz w:val="20"/>
                <w:szCs w:val="20"/>
              </w:rPr>
              <w:t>符合条件的永续债利息收入免征企业所得税（填写</w:t>
            </w:r>
            <w:r>
              <w:rPr>
                <w:rFonts w:ascii="宋体" w:hAnsi="宋体" w:cs="宋体"/>
                <w:kern w:val="0"/>
                <w:sz w:val="20"/>
                <w:szCs w:val="20"/>
              </w:rPr>
              <w:t>A107011</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9</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（三）符合条件的非营利组织的收入免征企业所得税</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10</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（四）中国清洁发展机制基金取得的收入免征企业所得税</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11</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（五）投资者从证券投资基金分配中取得的收入免征企业所得税</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12</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（六）取得的地方政府债券利息收入免征企业所得税</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13</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（七）中国保险保障基金有限责任公司取得的保险保障基金等收入免征企业所得税</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14</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（八）中国奥委会取得北京冬奥组委支付的收入免征企业所得税</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15</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（九）中国残奥委会取得北京冬奥组委分期支付的收入免征企业所得税</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16</w:t>
            </w:r>
          </w:p>
        </w:tc>
        <w:tc>
          <w:tcPr>
            <w:tcW w:w="8246"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（十）其他</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17</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二、减计收入（</w:t>
            </w:r>
            <w:r>
              <w:rPr>
                <w:rFonts w:ascii="宋体" w:hAnsi="宋体" w:cs="宋体"/>
                <w:kern w:val="0"/>
                <w:sz w:val="20"/>
                <w:szCs w:val="20"/>
              </w:rPr>
              <w:t>18+19+23+24</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18</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（一）综合利用资源生产产品取得的收入在计算应纳税所得额时减计收入</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19</w:t>
            </w:r>
          </w:p>
        </w:tc>
        <w:tc>
          <w:tcPr>
            <w:tcW w:w="8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（二）金融、保险等机构取得的涉农利息、保费减计收入（</w:t>
            </w:r>
            <w:r>
              <w:rPr>
                <w:rFonts w:ascii="宋体" w:hAnsi="宋体" w:cs="宋体"/>
                <w:kern w:val="0"/>
                <w:sz w:val="20"/>
                <w:szCs w:val="20"/>
              </w:rPr>
              <w:t>20+21+22</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20</w:t>
            </w:r>
          </w:p>
        </w:tc>
        <w:tc>
          <w:tcPr>
            <w:tcW w:w="8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金融机构取得的涉农贷款利息收入在计算应纳税所得额时减计收入</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21</w:t>
            </w:r>
          </w:p>
        </w:tc>
        <w:tc>
          <w:tcPr>
            <w:tcW w:w="8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保险机构取得的涉农保费收入在计算应纳税所得额时减计收入</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22</w:t>
            </w:r>
          </w:p>
        </w:tc>
        <w:tc>
          <w:tcPr>
            <w:tcW w:w="8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小额贷款公司取得的农户小额贷款利息收入在计算应纳税所得额时减计收入</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shd w:val="clear" w:color="auto" w:fill="auto"/>
            <w:noWrap w:val="0"/>
            <w:vAlign w:val="center"/>
          </w:tcPr>
          <w:p>
            <w:pPr>
              <w:widowControl/>
              <w:jc w:val="center"/>
              <w:rPr>
                <w:rFonts w:ascii="宋体"/>
                <w:kern w:val="0"/>
                <w:sz w:val="20"/>
                <w:szCs w:val="20"/>
              </w:rPr>
            </w:pPr>
            <w:r>
              <w:rPr>
                <w:rFonts w:ascii="宋体" w:hAnsi="宋体" w:cs="宋体"/>
                <w:kern w:val="0"/>
                <w:sz w:val="20"/>
                <w:szCs w:val="20"/>
              </w:rPr>
              <w:t>23</w:t>
            </w:r>
          </w:p>
        </w:tc>
        <w:tc>
          <w:tcPr>
            <w:tcW w:w="8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（三）取得铁路债券利息收入减半征收企业所得税</w:t>
            </w:r>
          </w:p>
        </w:tc>
        <w:tc>
          <w:tcPr>
            <w:tcW w:w="1052"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24</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（四）其他（</w:t>
            </w:r>
            <w:r>
              <w:rPr>
                <w:rFonts w:ascii="宋体" w:hAnsi="宋体" w:cs="宋体"/>
                <w:kern w:val="0"/>
                <w:sz w:val="20"/>
                <w:szCs w:val="20"/>
              </w:rPr>
              <w:t>24</w:t>
            </w:r>
            <w:r>
              <w:rPr>
                <w:rFonts w:hint="eastAsia" w:ascii="宋体" w:hAnsi="宋体" w:eastAsia="宋体" w:cs="宋体"/>
                <w:kern w:val="0"/>
                <w:sz w:val="20"/>
                <w:szCs w:val="20"/>
                <w:lang w:eastAsia="zh-CN"/>
              </w:rPr>
              <w:t>、</w:t>
            </w:r>
            <w:r>
              <w:rPr>
                <w:rFonts w:ascii="宋体" w:hAnsi="宋体" w:cs="宋体"/>
                <w:kern w:val="0"/>
                <w:sz w:val="20"/>
                <w:szCs w:val="20"/>
              </w:rPr>
              <w:t>1+24</w:t>
            </w:r>
            <w:r>
              <w:rPr>
                <w:rFonts w:hint="eastAsia" w:ascii="宋体" w:hAnsi="宋体" w:eastAsia="宋体" w:cs="宋体"/>
                <w:kern w:val="0"/>
                <w:sz w:val="20"/>
                <w:szCs w:val="20"/>
                <w:lang w:eastAsia="zh-CN"/>
              </w:rPr>
              <w:t>、</w:t>
            </w:r>
            <w:r>
              <w:rPr>
                <w:rFonts w:ascii="宋体" w:hAnsi="宋体" w:cs="宋体"/>
                <w:kern w:val="0"/>
                <w:sz w:val="20"/>
                <w:szCs w:val="20"/>
              </w:rPr>
              <w:t>2</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bottom"/>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24</w:t>
            </w:r>
            <w:r>
              <w:rPr>
                <w:rFonts w:hint="eastAsia" w:ascii="宋体" w:hAnsi="宋体" w:eastAsia="宋体" w:cs="宋体"/>
                <w:kern w:val="0"/>
                <w:sz w:val="20"/>
                <w:szCs w:val="20"/>
                <w:lang w:eastAsia="zh-CN"/>
              </w:rPr>
              <w:t>、</w:t>
            </w:r>
            <w:r>
              <w:rPr>
                <w:rFonts w:ascii="宋体" w:hAnsi="宋体" w:cs="宋体"/>
                <w:kern w:val="0"/>
                <w:sz w:val="20"/>
                <w:szCs w:val="20"/>
              </w:rPr>
              <w:t>1</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cs="宋体"/>
                <w:kern w:val="0"/>
                <w:sz w:val="20"/>
                <w:szCs w:val="20"/>
              </w:rPr>
            </w:pPr>
            <w:r>
              <w:rPr>
                <w:rFonts w:ascii="宋体" w:hAnsi="宋体" w:cs="宋体"/>
                <w:kern w:val="0"/>
                <w:sz w:val="20"/>
                <w:szCs w:val="20"/>
              </w:rPr>
              <w:t xml:space="preserve">    1</w:t>
            </w:r>
            <w:r>
              <w:rPr>
                <w:rFonts w:hint="eastAsia" w:ascii="宋体" w:hAnsi="宋体" w:eastAsia="宋体" w:cs="宋体"/>
                <w:kern w:val="0"/>
                <w:sz w:val="20"/>
                <w:szCs w:val="20"/>
                <w:lang w:eastAsia="zh-CN"/>
              </w:rPr>
              <w:t>、</w:t>
            </w:r>
            <w:r>
              <w:rPr>
                <w:rFonts w:hint="eastAsia" w:ascii="宋体" w:hAnsi="宋体" w:cs="宋体"/>
                <w:kern w:val="0"/>
                <w:sz w:val="20"/>
                <w:szCs w:val="20"/>
              </w:rPr>
              <w:t>取得的社区家庭服务收入在计算应纳税所得额时减计收入</w:t>
            </w:r>
          </w:p>
        </w:tc>
        <w:tc>
          <w:tcPr>
            <w:tcW w:w="1052" w:type="dxa"/>
            <w:tcBorders>
              <w:top w:val="single" w:color="auto" w:sz="6" w:space="0"/>
              <w:left w:val="single" w:color="auto" w:sz="6" w:space="0"/>
              <w:bottom w:val="single" w:color="auto" w:sz="6" w:space="0"/>
              <w:right w:val="single" w:color="auto" w:sz="12" w:space="0"/>
            </w:tcBorders>
            <w:noWrap w:val="0"/>
            <w:vAlign w:val="bottom"/>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24</w:t>
            </w:r>
            <w:r>
              <w:rPr>
                <w:rFonts w:hint="eastAsia" w:ascii="宋体" w:hAnsi="宋体" w:eastAsia="宋体" w:cs="宋体"/>
                <w:kern w:val="0"/>
                <w:sz w:val="20"/>
                <w:szCs w:val="20"/>
                <w:lang w:eastAsia="zh-CN"/>
              </w:rPr>
              <w:t>、</w:t>
            </w:r>
            <w:r>
              <w:rPr>
                <w:rFonts w:ascii="宋体" w:hAnsi="宋体" w:cs="宋体"/>
                <w:kern w:val="0"/>
                <w:sz w:val="20"/>
                <w:szCs w:val="20"/>
              </w:rPr>
              <w:t>2</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cs="宋体"/>
                <w:kern w:val="0"/>
                <w:sz w:val="20"/>
                <w:szCs w:val="20"/>
              </w:rPr>
            </w:pPr>
            <w:r>
              <w:rPr>
                <w:rFonts w:ascii="宋体" w:hAnsi="宋体" w:cs="宋体"/>
                <w:kern w:val="0"/>
                <w:sz w:val="20"/>
                <w:szCs w:val="20"/>
              </w:rPr>
              <w:t xml:space="preserve">    2</w:t>
            </w:r>
            <w:r>
              <w:rPr>
                <w:rFonts w:hint="eastAsia" w:ascii="宋体" w:hAnsi="宋体" w:eastAsia="宋体" w:cs="宋体"/>
                <w:kern w:val="0"/>
                <w:sz w:val="20"/>
                <w:szCs w:val="20"/>
                <w:lang w:eastAsia="zh-CN"/>
              </w:rPr>
              <w:t>、</w:t>
            </w:r>
            <w:r>
              <w:rPr>
                <w:rFonts w:hint="eastAsia" w:ascii="宋体" w:hAnsi="宋体" w:cs="宋体"/>
                <w:kern w:val="0"/>
                <w:sz w:val="20"/>
                <w:szCs w:val="20"/>
              </w:rPr>
              <w:t>其他</w:t>
            </w:r>
          </w:p>
        </w:tc>
        <w:tc>
          <w:tcPr>
            <w:tcW w:w="1052" w:type="dxa"/>
            <w:tcBorders>
              <w:top w:val="single" w:color="auto" w:sz="6" w:space="0"/>
              <w:left w:val="single" w:color="auto" w:sz="6" w:space="0"/>
              <w:bottom w:val="single" w:color="auto" w:sz="6" w:space="0"/>
              <w:right w:val="single" w:color="auto" w:sz="12" w:space="0"/>
            </w:tcBorders>
            <w:noWrap w:val="0"/>
            <w:vAlign w:val="bottom"/>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25</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三、加计扣除（</w:t>
            </w:r>
            <w:r>
              <w:rPr>
                <w:rFonts w:ascii="宋体" w:hAnsi="宋体" w:cs="宋体"/>
                <w:kern w:val="0"/>
                <w:sz w:val="20"/>
                <w:szCs w:val="20"/>
              </w:rPr>
              <w:t>26+27+28+29+30</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26</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（一）开发新技术、新产品、新工艺发生的研究开发费用加计扣除（填写</w:t>
            </w:r>
            <w:r>
              <w:rPr>
                <w:rFonts w:ascii="宋体" w:hAnsi="宋体" w:cs="宋体"/>
                <w:kern w:val="0"/>
                <w:sz w:val="20"/>
                <w:szCs w:val="20"/>
              </w:rPr>
              <w:t>A107012</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27</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left="993" w:leftChars="190" w:hanging="594" w:hangingChars="297"/>
              <w:jc w:val="left"/>
              <w:rPr>
                <w:rFonts w:ascii="宋体"/>
                <w:kern w:val="0"/>
                <w:sz w:val="20"/>
                <w:szCs w:val="20"/>
              </w:rPr>
            </w:pPr>
            <w:r>
              <w:rPr>
                <w:rFonts w:hint="eastAsia" w:ascii="宋体" w:hAnsi="宋体" w:cs="宋体"/>
                <w:kern w:val="0"/>
                <w:sz w:val="20"/>
                <w:szCs w:val="20"/>
              </w:rPr>
              <w:t>（二）科技型中小企业开发新技术、新产品、新工艺发生的研究开发费用加计扣除（填写</w:t>
            </w:r>
            <w:r>
              <w:rPr>
                <w:rFonts w:ascii="宋体" w:hAnsi="宋体" w:cs="宋体"/>
                <w:kern w:val="0"/>
                <w:sz w:val="20"/>
                <w:szCs w:val="20"/>
              </w:rPr>
              <w:t>A107012</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28</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left="993" w:leftChars="190" w:hanging="594" w:hangingChars="297"/>
              <w:jc w:val="left"/>
              <w:rPr>
                <w:rFonts w:ascii="宋体"/>
                <w:kern w:val="0"/>
                <w:sz w:val="20"/>
                <w:szCs w:val="20"/>
              </w:rPr>
            </w:pPr>
            <w:r>
              <w:rPr>
                <w:rFonts w:hint="eastAsia" w:ascii="宋体" w:hAnsi="宋体" w:cs="宋体"/>
                <w:kern w:val="0"/>
                <w:sz w:val="20"/>
                <w:szCs w:val="20"/>
              </w:rPr>
              <w:t>（三）企业为获得创新性、创意性、突破性的产品进行创意设计活动而发生的相关费用加计扣除</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29</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（四）安置残疾人员所支付的工资加计扣除</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30</w:t>
            </w:r>
          </w:p>
        </w:tc>
        <w:tc>
          <w:tcPr>
            <w:tcW w:w="8246" w:type="dxa"/>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（五）其他</w:t>
            </w:r>
          </w:p>
        </w:tc>
        <w:tc>
          <w:tcPr>
            <w:tcW w:w="1052"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6" w:type="dxa"/>
            <w:tcBorders>
              <w:top w:val="single" w:color="auto" w:sz="6" w:space="0"/>
              <w:left w:val="single" w:color="auto" w:sz="12" w:space="0"/>
              <w:bottom w:val="single" w:color="auto" w:sz="12"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31</w:t>
            </w:r>
          </w:p>
        </w:tc>
        <w:tc>
          <w:tcPr>
            <w:tcW w:w="8246" w:type="dxa"/>
            <w:tcBorders>
              <w:top w:val="single" w:color="auto" w:sz="6" w:space="0"/>
              <w:left w:val="single" w:color="auto" w:sz="6" w:space="0"/>
              <w:bottom w:val="single" w:color="auto" w:sz="12"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合计（</w:t>
            </w:r>
            <w:r>
              <w:rPr>
                <w:rFonts w:ascii="宋体" w:hAnsi="宋体" w:cs="宋体"/>
                <w:kern w:val="0"/>
                <w:sz w:val="20"/>
                <w:szCs w:val="20"/>
              </w:rPr>
              <w:t>1+17+25</w:t>
            </w:r>
            <w:r>
              <w:rPr>
                <w:rFonts w:hint="eastAsia" w:ascii="宋体" w:hAnsi="宋体" w:cs="宋体"/>
                <w:kern w:val="0"/>
                <w:sz w:val="20"/>
                <w:szCs w:val="20"/>
              </w:rPr>
              <w:t>）</w:t>
            </w:r>
          </w:p>
        </w:tc>
        <w:tc>
          <w:tcPr>
            <w:tcW w:w="1052" w:type="dxa"/>
            <w:tcBorders>
              <w:top w:val="single" w:color="auto" w:sz="6" w:space="0"/>
              <w:left w:val="single" w:color="auto" w:sz="6" w:space="0"/>
              <w:bottom w:val="single" w:color="auto" w:sz="12"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bl>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4"/>
        <w:bidi w:val="0"/>
        <w:rPr>
          <w:rFonts w:hint="eastAsia"/>
          <w:lang w:eastAsia="zh-CN"/>
        </w:rPr>
      </w:pPr>
      <w:r>
        <w:rPr>
          <w:rFonts w:hint="eastAsia"/>
          <w:lang w:eastAsia="zh-CN"/>
        </w:rPr>
        <w:t>A107010</w:t>
      </w:r>
      <w:r>
        <w:rPr>
          <w:rFonts w:hint="eastAsia"/>
          <w:lang w:eastAsia="zh-CN"/>
        </w:rPr>
        <w:tab/>
      </w:r>
      <w:r>
        <w:rPr>
          <w:rFonts w:hint="eastAsia"/>
          <w:lang w:eastAsia="zh-CN"/>
        </w:rPr>
        <w:t>《免税、减计收入及加计扣除优惠明细表》填报说明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本表适用于享受免税收入、减计收入和加计扣除优惠的纳税人填报。纳税人根据税法及相关税收政策规定，填报本年发生的免税收入、减计收入和加计扣除优惠情况。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1、第1行“一、免税收入”：填报第2+3+9+10+11+12+13+14+15+16行金额。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一）国债利息收入免征企业所得税”：填报纳税人根据《国家税务总局关于企业国债投资业务企业所得税处理问题的公告》（国家税务总局公告2011年第36号）等相关税收政策规定，持有国务院财政部门发行的国债取得的利息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3、第3行“（二）符合条件的居民企业之间的股息、红利等权益性投资收益免征企业所得税”：填报《符合条件的居民企业之间的股息、红利等权益性投资收益优惠明细表》（A107011）第8行第17列金额。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1、一般股息红利等权益性投资收益免征企业所得税”：填报《中华人民共和国企业所得税法实施条例》第八十三条规定的投资收益，不含持有H股、创新企业CDR、永续债取得的投资收益，按表A107011第9行第17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5、第5行“2、内地居民企业通过沪港通投资且连续持有H股满12个月取得的股息红利所得免征企业所得税”：填报根据《财政部 国家税务总局 证监会关于沪港股票市场交易互联互通机制试点有关税收政策的通知》（财税〔2014〕81号）等相关税收政策规定，内地居民企业连续持有H股满12个月取得的股息红利所得，按表A107011第10行第17列金额填报。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6、第6行“3、内地居民企业通过深港通投资且连续持有H股满12个月取得的股息红利所得免征企业所得税”：填报根据《财政部 国家税务总局 证监会关于深港股票市场交易互联互通机制试点有关税收政策的通知》（财税〔2016〕127号）等相关税收政策规定，内地居民企业连续持有H股满12个月取得的股息红利所得，按表A107011第11行第17列金额填报。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7、第7行“居民企业持有创新企业CDR取得的股息红利所得免征企业所得税”：根据《财政部 税务总局 证监会关于创新企业境内发行存托凭证试点阶段有关税收政策的公告》（财政部 税务总局 证监会公告2019年第52号）等相关税收政策规定，居民企业持有创新企业CDR取得的股息红利所得，按表A107011第12行第17列金额填报。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8、第8行“符合条件的永续债利息收入免征企业所得税”：填报根据《财政部 税务总局关于永续债企业所得税政策问题的公告》（财政部 税务总局公告2019年第64号）等相关税收政策规定，居民企业取得的可以适用企业所得税法规定的居民企业之间的股息、红利等权益性投资收益免征企业所得税规定的永续债利息收入，按表A107011第13行第17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9、第9行“（三）符合条件的非营利组织的收入免征企业所得税”：填报纳税人根据税法、《财政部 国家税务总局关于非营利组织企业所得税免税收入问题的通知》（财税〔2009〕122号）、《财政部 税务总局关于非营利组织免税资格认定管理有关问题的通知》（财税〔2018〕13号）等相关税收政策规定，认定的符合条件的非营利组织，取得的捐赠收入等免税收入，但不包括从事营利性活动所取得的收入。当表A000000“207非营利组织”选择“是”时，本行可以填报，否则不得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10、第10行“（四）中国清洁发展机制基金取得的收入免征企业所得税”：填报中国清洁发展机制基金根据《财政部 国家税务总局关于中国清洁发展机制基金及清洁发展机制项目实施企业有关企业所得税政策问题的通知》（财税〔2009〕30号）等相关税收政策规定，中国清洁发展机制基金取得的CDM项目温室气体减排量转让收入上缴国家的部分，国际金融组织赠款收入，基金资金的存款利息收入，购买国债的利息收入，国内外机构、组织和个人的捐赠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11、第11行“（五）投资者从证券投资基金分配中取得的收入免征企业所得税”：填报纳税人根据《财政部 国家税务总局关于企业所得税若干优惠政策的通知》（财税〔2008〕1号）第二条第（二）项等相关税收政策规定，投资者从证券投资基金分配中取得的收入。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12、第12行“（六）取得的地方政府债券利息收入免征企业所得税”：填报纳税人根据《财政部 国家税务总局关于地方政府债券利息所得免征所得税问题的通知》（财税〔2011〕76号）、《财政部 国家税务总局关于地方政府债券利息免征所得税问题的通知》（财税〔2013〕5号）等相关税收政策规定，取得的2009年、2010年和2011年发行的地方政府债券利息所得，2012年及以后年度发行的地方政府债券利息收入。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13、第13行“（七）中国保险保障基金有限责任公司取得的保险保障基金等收入免征企业所得税”：填报中国保险保障基金有限责任公司根据《财政部 税务总局关于保险保障基金有关税收政策问题的通知》（财税〔2018〕41号）等相关税收政策规定，按《保险保障基金管理办法》规定取得的境内保险公司依法缴纳的保险保障基金；依法从撤销或破产保险公司清算财产中获得的受偿收入和向有关责任方追偿所得，以及依法从保险公司风险处置中获得的财产转让所得；捐赠所得；银行存款利息收入；购买政府债券、中央银行、中央企业和中央级金融机构发行债券的利息收入；国务院批准的其他资金运用取得的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14、第14行“（八）中国奥委会取得北京冬奥组委支付的收入免征企业所得税”：根据《财政部 税务总局 海关总署关于北京2022年冬奥会和冬残奥会税收政策的通知》（财税〔2017〕60号）等相关税收政策规定，中国奥委会填报按中国奥委会、主办城市签订的《联合市场开发计划协议》和中国奥委会、主办城市、国际奥委会签订的《主办城市合同》取得的由北京冬奥组委分期支付的收入、按比例支付的盈余分成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15行“（九）中国残奥委会取得北京冬奥组委分期支付的收入免征企业所得税”：填报根据财税〔2017〕60号等相关税收政策规定，中国残奥委会按照《联合市场开发计划协议》取得的由北京冬奥组委分期支付的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16、第16行“（十）其他”：填报纳税人享受的本表未列明的其他免税收入税收优惠事项名称、减免税代码及免税收入金额。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17、第17行“二、减计收入”：填报第18+19+23+24行金额。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18、第18行“（一）综合利用资源生产产品取得的收入在计算应纳税所得额时减计收入”：填报纳税人综合利用资源生产产品取得的收入总额乘以10%的金额。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19、第19行“（二）金融、保险等机构取得的涉农利息、保费减计收入”：填报金融、保险等机构取得的涉农利息、保费收入减计收入的金额，按第20+21+22行金额填报。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20、第20行“1、金融机构取得的涉农贷款利息收入在计算应纳税所得额时减计收入”：填报纳税人取得农户小额贷款利息收入总额乘以10%的金额。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21、第21行“2、保险机构取得的涉农保费收入在计算应纳税所得额时减计收入”：填报保险公司为种植业、养殖业提供保险业务取得的保费收入总额乘以10%的金额。其中保费收入总额＝原保费收入+分保费收入-分出保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22、第22行“3、小额贷款公司取得的农户小额贷款利息收入在计算应纳税所得额时减计收入”：填报根据《财政部 税务总局关于小额贷款公司有关税收政策的通知》（财税〔2017〕48号）等相关税收政策规定，经省级金融管理部门(金融办、局等)批准成立的小额贷款公司取得的农户小额贷款利息收入乘以10%的金额。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23、第23行“（三）取得铁路债券利息收入减半征收企业所得税”：填报纳税人根据《财政部 国家税务总局关于铁路建设债券利息收入企业所得税政策的通知》（财税〔2011〕99号）、《财政部 国家税务总局关于2014 2015年铁路建设债券利息收入企业所得税政策的通知》（财税〔2014〕2号）及《财政部 国家税务总局关于铁路债券利息收入所得税政策问题的通知》(财税〔2016〕30号)、《财政部 税务总局关于铁路债券利息收入所得税政策的公告》（财政部 税务总局公告2019年第57号）等相关税收政策规定，持有中国铁路建设铁路债券等企业债券取得的利息收入乘以50%的金额。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24、第24行“（四）其他”：根据相关行次计算结果填报。本行=第24</w:t>
      </w:r>
      <w:r>
        <w:rPr>
          <w:rFonts w:hint="eastAsia" w:ascii="微软雅黑" w:hAnsi="微软雅黑" w:eastAsia="微软雅黑" w:cs="微软雅黑"/>
          <w:lang w:val="en-US" w:eastAsia="zh-CN"/>
        </w:rPr>
        <w:t>.</w:t>
      </w:r>
      <w:r>
        <w:rPr>
          <w:rFonts w:hint="eastAsia" w:ascii="微软雅黑" w:hAnsi="微软雅黑" w:eastAsia="微软雅黑" w:cs="微软雅黑"/>
          <w:lang w:eastAsia="zh-CN"/>
        </w:rPr>
        <w:t>1+24</w:t>
      </w:r>
      <w:r>
        <w:rPr>
          <w:rFonts w:hint="eastAsia" w:ascii="微软雅黑" w:hAnsi="微软雅黑" w:eastAsia="微软雅黑" w:cs="微软雅黑"/>
          <w:lang w:val="en-US" w:eastAsia="zh-CN"/>
        </w:rPr>
        <w:t>.</w:t>
      </w:r>
      <w:r>
        <w:rPr>
          <w:rFonts w:hint="eastAsia" w:ascii="微软雅黑" w:hAnsi="微软雅黑" w:eastAsia="微软雅黑" w:cs="微软雅黑"/>
          <w:lang w:eastAsia="zh-CN"/>
        </w:rPr>
        <w:t>2行。第24</w:t>
      </w:r>
      <w:r>
        <w:rPr>
          <w:rFonts w:hint="eastAsia" w:ascii="微软雅黑" w:hAnsi="微软雅黑" w:eastAsia="微软雅黑" w:cs="微软雅黑"/>
          <w:lang w:val="en-US" w:eastAsia="zh-CN"/>
        </w:rPr>
        <w:t>.</w:t>
      </w:r>
      <w:r>
        <w:rPr>
          <w:rFonts w:hint="eastAsia" w:ascii="微软雅黑" w:hAnsi="微软雅黑" w:eastAsia="微软雅黑" w:cs="微软雅黑"/>
          <w:lang w:eastAsia="zh-CN"/>
        </w:rPr>
        <w:t>1行和第24</w:t>
      </w:r>
      <w:r>
        <w:rPr>
          <w:rFonts w:hint="eastAsia" w:ascii="微软雅黑" w:hAnsi="微软雅黑" w:eastAsia="微软雅黑" w:cs="微软雅黑"/>
          <w:lang w:val="en-US" w:eastAsia="zh-CN"/>
        </w:rPr>
        <w:t>.</w:t>
      </w:r>
      <w:r>
        <w:rPr>
          <w:rFonts w:hint="eastAsia" w:ascii="微软雅黑" w:hAnsi="微软雅黑" w:eastAsia="微软雅黑" w:cs="微软雅黑"/>
          <w:lang w:eastAsia="zh-CN"/>
        </w:rPr>
        <w:t>2行按照以下要求填报：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第24</w:t>
      </w:r>
      <w:r>
        <w:rPr>
          <w:rFonts w:hint="eastAsia" w:ascii="微软雅黑" w:hAnsi="微软雅黑" w:eastAsia="微软雅黑" w:cs="微软雅黑"/>
          <w:lang w:val="en-US" w:eastAsia="zh-CN"/>
        </w:rPr>
        <w:t>.</w:t>
      </w:r>
      <w:r>
        <w:rPr>
          <w:rFonts w:hint="eastAsia" w:ascii="微软雅黑" w:hAnsi="微软雅黑" w:eastAsia="微软雅黑" w:cs="微软雅黑"/>
          <w:lang w:eastAsia="zh-CN"/>
        </w:rPr>
        <w:t>1行“1、取得的社区家庭服务收入在计算应纳税所得额时减计收入”：填报纳税人根据《财政部 税务总局 发展改革委 民政部 商务部 卫生健康委关于养老、托育、家政等社区家庭服务业税费优惠政策的公告》（财政部 税务总局 发展改革委 民政部 商务部 卫生健康委公告2019年第76号）等相关税收政策规定，社区养老、托育、家政相关服务的收入乘以10%的金额。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第24</w:t>
      </w:r>
      <w:r>
        <w:rPr>
          <w:rFonts w:hint="eastAsia" w:ascii="微软雅黑" w:hAnsi="微软雅黑" w:eastAsia="微软雅黑" w:cs="微软雅黑"/>
          <w:lang w:val="en-US" w:eastAsia="zh-CN"/>
        </w:rPr>
        <w:t>.</w:t>
      </w:r>
      <w:r>
        <w:rPr>
          <w:rFonts w:hint="eastAsia" w:ascii="微软雅黑" w:hAnsi="微软雅黑" w:eastAsia="微软雅黑" w:cs="微软雅黑"/>
          <w:lang w:eastAsia="zh-CN"/>
        </w:rPr>
        <w:t>2行“2、其他”：填报纳税人享受的本表未列明的其他减计收入的税收优惠事项名称、减免税代码及减计收入金额。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25、第25行“三、加计扣除”：填报第26+27+28+29+30行的合计金额。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26、第26行“（一）开发新技术、新产品、新工艺发生的研究开发费用加计扣除”：当表A000000“210-3”项目未填有入库编号时，填报表A107012第51行金额。本行与第27行不可同时填报。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27、第27行“（二）科技型中小企业开发新技术、新产品、新工艺发生的研究开发费用加计扣除”：当表A000000“210-3”项目填有入库编号时，填报表A107012第51行金额。本行与第26行不可同时填报。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28、第28行“（三）企业为获得创新性、创意性、突破性的产品进行创意设计活动而发生的相关费用加计扣除”：填报纳税人根据《财政部 国家税务总局 科技部关于完善研究开发费用税前加计扣除政策的通知》（财税〔2015〕119号）第二条第四项规定，为获得创新性、创意性、突破性的产品进行创意设计活动而发生的相关费用按照规定进行税前加计扣除的金额。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29、第29行“（四）安置残疾人员所支付的工资加计扣除”：填报纳税人根据《财政部 国家税务总局关于安置残疾人员就业有关企业所得税优惠政策问题的通知》（财税〔2009〕70号）等相关税收政策规定安置残疾人员的，按照支付给残疾职工工资的100%加计扣除的金额。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30、第30行“（五）其他”：填报纳税人享受的本表未列明的其他加计扣除的税收优惠事项名称、减免税代码及加计扣除的金额。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31、第31行“合计”：填报第1+17+25行金额。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1、第1行＝第2+3+9+10+…+16行。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2、第3行＝第4+5+6+7+8行。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3、第17行＝第18+19+23+24行。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4、第19行＝第20+21+22行。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5、第24行=第24、1+24、2行。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6、第25行＝第26+27+28+29+30行。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7、第26行和第27行不可同时填报。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8、第31行＝第1+17+25行。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1、第3行＝表A107011第8行（合计行）第17列。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2、第4行＝表A107011第9行第17列。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3、第5行＝表A107011第10行第17列。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4、第6行＝表A107011第11行第17列。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5、第7行＝表A107011第12行第17列。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6、第8行＝表A107011第13行第17列。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7、当表A000000“210-3”项目未填有入库编号时，第26行＝表A107012第51行。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8、当表A000000“210-3”项目填有入库编号时，第27行＝表A107012第51行。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9、第31行＝表A100000第17行。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A107011</w:t>
      </w:r>
      <w:r>
        <w:rPr>
          <w:rFonts w:hint="eastAsia"/>
          <w:lang w:eastAsia="zh-CN"/>
        </w:rPr>
        <w:tab/>
      </w:r>
      <w:r>
        <w:rPr>
          <w:rFonts w:hint="eastAsia"/>
          <w:lang w:eastAsia="zh-CN"/>
        </w:rPr>
        <w:t>符合条件的居民企业之间的股息、红利等权益性投资收益优惠明细表</w:t>
      </w:r>
    </w:p>
    <w:tbl>
      <w:tblPr>
        <w:tblStyle w:val="8"/>
        <w:tblW w:w="109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52"/>
        <w:gridCol w:w="516"/>
        <w:gridCol w:w="636"/>
        <w:gridCol w:w="460"/>
        <w:gridCol w:w="489"/>
        <w:gridCol w:w="461"/>
        <w:gridCol w:w="613"/>
        <w:gridCol w:w="778"/>
        <w:gridCol w:w="7"/>
        <w:gridCol w:w="567"/>
        <w:gridCol w:w="765"/>
        <w:gridCol w:w="634"/>
        <w:gridCol w:w="632"/>
        <w:gridCol w:w="489"/>
        <w:gridCol w:w="636"/>
        <w:gridCol w:w="819"/>
        <w:gridCol w:w="942"/>
        <w:gridCol w:w="543"/>
        <w:gridCol w:w="5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52" w:type="dxa"/>
            <w:vMerge w:val="restart"/>
            <w:tcBorders>
              <w:top w:val="single" w:color="auto" w:sz="12"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hint="eastAsia" w:ascii="宋体" w:hAnsi="宋体" w:cs="宋体"/>
                <w:kern w:val="0"/>
                <w:sz w:val="20"/>
                <w:szCs w:val="20"/>
              </w:rPr>
              <w:t>行次</w:t>
            </w:r>
          </w:p>
        </w:tc>
        <w:tc>
          <w:tcPr>
            <w:tcW w:w="516"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被投资企业</w:t>
            </w:r>
          </w:p>
        </w:tc>
        <w:tc>
          <w:tcPr>
            <w:tcW w:w="636"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被投资企业统一社会信用代码（纳税人识别号）</w:t>
            </w:r>
          </w:p>
        </w:tc>
        <w:tc>
          <w:tcPr>
            <w:tcW w:w="460"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投资性质</w:t>
            </w:r>
          </w:p>
        </w:tc>
        <w:tc>
          <w:tcPr>
            <w:tcW w:w="489"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投资成本</w:t>
            </w:r>
          </w:p>
        </w:tc>
        <w:tc>
          <w:tcPr>
            <w:tcW w:w="461"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投资比例</w:t>
            </w:r>
          </w:p>
        </w:tc>
        <w:tc>
          <w:tcPr>
            <w:tcW w:w="1398" w:type="dxa"/>
            <w:gridSpan w:val="3"/>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被投资企业利润分配确认金额</w:t>
            </w:r>
          </w:p>
        </w:tc>
        <w:tc>
          <w:tcPr>
            <w:tcW w:w="1966" w:type="dxa"/>
            <w:gridSpan w:val="3"/>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被投资企业清算确认金额</w:t>
            </w:r>
          </w:p>
        </w:tc>
        <w:tc>
          <w:tcPr>
            <w:tcW w:w="4061" w:type="dxa"/>
            <w:gridSpan w:val="6"/>
            <w:tcBorders>
              <w:top w:val="single" w:color="auto" w:sz="12"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撤回或减少投资确认金额</w:t>
            </w:r>
          </w:p>
        </w:tc>
        <w:tc>
          <w:tcPr>
            <w:tcW w:w="520" w:type="dxa"/>
            <w:vMerge w:val="restart"/>
            <w:tcBorders>
              <w:top w:val="single" w:color="auto" w:sz="12" w:space="0"/>
              <w:left w:val="single" w:color="auto" w:sz="6" w:space="0"/>
              <w:bottom w:val="single" w:color="auto" w:sz="6" w:space="0"/>
              <w:right w:val="single" w:color="auto" w:sz="12"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25" w:hRule="atLeast"/>
          <w:jc w:val="center"/>
        </w:trPr>
        <w:tc>
          <w:tcPr>
            <w:tcW w:w="452"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cs="宋体"/>
                <w:kern w:val="0"/>
                <w:sz w:val="20"/>
                <w:szCs w:val="20"/>
              </w:rPr>
            </w:pPr>
          </w:p>
        </w:tc>
        <w:tc>
          <w:tcPr>
            <w:tcW w:w="516"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left"/>
              <w:rPr>
                <w:rFonts w:ascii="宋体" w:cs="宋体"/>
                <w:kern w:val="0"/>
                <w:sz w:val="20"/>
                <w:szCs w:val="20"/>
              </w:rPr>
            </w:pPr>
          </w:p>
        </w:tc>
        <w:tc>
          <w:tcPr>
            <w:tcW w:w="636"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left"/>
              <w:rPr>
                <w:rFonts w:ascii="宋体" w:cs="宋体"/>
                <w:kern w:val="0"/>
                <w:sz w:val="20"/>
                <w:szCs w:val="20"/>
              </w:rPr>
            </w:pPr>
          </w:p>
        </w:tc>
        <w:tc>
          <w:tcPr>
            <w:tcW w:w="460"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left"/>
              <w:rPr>
                <w:rFonts w:ascii="宋体" w:cs="宋体"/>
                <w:kern w:val="0"/>
                <w:sz w:val="20"/>
                <w:szCs w:val="20"/>
              </w:rPr>
            </w:pPr>
          </w:p>
        </w:tc>
        <w:tc>
          <w:tcPr>
            <w:tcW w:w="489"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left"/>
              <w:rPr>
                <w:rFonts w:ascii="宋体" w:cs="宋体"/>
                <w:kern w:val="0"/>
                <w:sz w:val="20"/>
                <w:szCs w:val="20"/>
              </w:rPr>
            </w:pPr>
          </w:p>
        </w:tc>
        <w:tc>
          <w:tcPr>
            <w:tcW w:w="461"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left"/>
              <w:rPr>
                <w:rFonts w:ascii="宋体" w:cs="宋体"/>
                <w:kern w:val="0"/>
                <w:sz w:val="20"/>
                <w:szCs w:val="20"/>
              </w:rPr>
            </w:pP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被投资企业做出利润分配或转股决定时间</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依决定归属于本公司的股息、红利等权益性投资收益金额</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分得的被投资企业清算剩余资产</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被清算企业累计未分配利润和累计盈余公积应享有部分</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应确认的股息所得</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从被投资企业撤回或减少投资取得的资产</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减少投资比例</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收回初始投资成本</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取得资产中超过收回初始投资成本部分</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撤回或减少投资应享有被投资企业累计未分配利润和累计盈余公积</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hint="eastAsia" w:ascii="宋体" w:hAnsi="宋体" w:cs="宋体"/>
                <w:kern w:val="0"/>
                <w:sz w:val="20"/>
                <w:szCs w:val="20"/>
              </w:rPr>
              <w:t>应确认的股息所得</w:t>
            </w:r>
          </w:p>
        </w:tc>
        <w:tc>
          <w:tcPr>
            <w:tcW w:w="520" w:type="dxa"/>
            <w:vMerge w:val="continue"/>
            <w:tcBorders>
              <w:top w:val="single" w:color="auto" w:sz="6" w:space="0"/>
              <w:left w:val="single" w:color="auto" w:sz="6" w:space="0"/>
              <w:bottom w:val="single" w:color="auto" w:sz="6" w:space="0"/>
              <w:right w:val="single" w:color="auto" w:sz="12" w:space="0"/>
            </w:tcBorders>
            <w:noWrap w:val="0"/>
            <w:vAlign w:val="center"/>
          </w:tcPr>
          <w:p>
            <w:pPr>
              <w:widowControl/>
              <w:ind w:left="-105" w:leftChars="-50" w:right="-105" w:rightChars="-50"/>
              <w:jc w:val="lef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5" w:hRule="atLeast"/>
          <w:jc w:val="center"/>
        </w:trPr>
        <w:tc>
          <w:tcPr>
            <w:tcW w:w="452"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cs="宋体"/>
                <w:kern w:val="0"/>
                <w:sz w:val="20"/>
                <w:szCs w:val="20"/>
              </w:rPr>
            </w:pP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2</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3</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4</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5</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6</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7</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8</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9</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hAnsi="宋体" w:cs="宋体"/>
                <w:kern w:val="0"/>
                <w:sz w:val="20"/>
                <w:szCs w:val="20"/>
              </w:rPr>
            </w:pPr>
            <w:r>
              <w:rPr>
                <w:rFonts w:ascii="宋体" w:hAnsi="宋体" w:cs="宋体"/>
                <w:kern w:val="0"/>
                <w:sz w:val="20"/>
                <w:szCs w:val="20"/>
              </w:rPr>
              <w:t>10(8</w:t>
            </w:r>
            <w:r>
              <w:rPr>
                <w:rFonts w:hint="eastAsia" w:ascii="宋体" w:hAnsi="宋体" w:cs="宋体"/>
                <w:kern w:val="0"/>
                <w:sz w:val="20"/>
                <w:szCs w:val="20"/>
              </w:rPr>
              <w:t>与</w:t>
            </w:r>
            <w:r>
              <w:rPr>
                <w:rFonts w:ascii="宋体" w:hAnsi="宋体" w:cs="宋体"/>
                <w:kern w:val="0"/>
                <w:sz w:val="20"/>
                <w:szCs w:val="20"/>
              </w:rPr>
              <w:t>9</w:t>
            </w:r>
            <w:r>
              <w:rPr>
                <w:rFonts w:hint="eastAsia" w:ascii="宋体" w:hAnsi="宋体" w:cs="宋体"/>
                <w:kern w:val="0"/>
                <w:sz w:val="20"/>
                <w:szCs w:val="20"/>
              </w:rPr>
              <w:t>孰小</w:t>
            </w:r>
            <w:r>
              <w:rPr>
                <w:rFonts w:ascii="宋体" w:hAnsi="宋体" w:cs="宋体"/>
                <w:kern w:val="0"/>
                <w:sz w:val="20"/>
                <w:szCs w:val="20"/>
              </w:rPr>
              <w:t>)</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11</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12</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13(4</w:t>
            </w:r>
            <w:r>
              <w:rPr>
                <w:rFonts w:hint="eastAsia" w:ascii="宋体" w:hAnsi="宋体" w:cs="宋体"/>
                <w:kern w:val="0"/>
                <w:sz w:val="20"/>
                <w:szCs w:val="20"/>
              </w:rPr>
              <w:t>×</w:t>
            </w:r>
            <w:r>
              <w:rPr>
                <w:rFonts w:ascii="宋体" w:hAnsi="宋体" w:cs="宋体"/>
                <w:kern w:val="0"/>
                <w:sz w:val="20"/>
                <w:szCs w:val="20"/>
              </w:rPr>
              <w:t>12)</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14(11-13)</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15</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16(14</w:t>
            </w:r>
            <w:r>
              <w:rPr>
                <w:rFonts w:hint="eastAsia" w:ascii="宋体" w:hAnsi="宋体" w:cs="宋体"/>
                <w:kern w:val="0"/>
                <w:sz w:val="20"/>
                <w:szCs w:val="20"/>
              </w:rPr>
              <w:t>与</w:t>
            </w:r>
            <w:r>
              <w:rPr>
                <w:rFonts w:ascii="宋体" w:hAnsi="宋体" w:cs="宋体"/>
                <w:kern w:val="0"/>
                <w:sz w:val="20"/>
                <w:szCs w:val="20"/>
              </w:rPr>
              <w:t>15</w:t>
            </w:r>
            <w:r>
              <w:rPr>
                <w:rFonts w:hint="eastAsia" w:ascii="宋体" w:hAnsi="宋体" w:cs="宋体"/>
                <w:kern w:val="0"/>
                <w:sz w:val="20"/>
                <w:szCs w:val="20"/>
              </w:rPr>
              <w:t>孰小</w:t>
            </w:r>
            <w:r>
              <w:rPr>
                <w:rFonts w:ascii="宋体" w:hAnsi="宋体" w:cs="宋体"/>
                <w:kern w:val="0"/>
                <w:sz w:val="20"/>
                <w:szCs w:val="20"/>
              </w:rPr>
              <w:t>)</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ind w:left="-105" w:leftChars="-50" w:right="-105" w:rightChars="-50"/>
              <w:jc w:val="center"/>
              <w:rPr>
                <w:rFonts w:ascii="宋体" w:cs="宋体"/>
                <w:kern w:val="0"/>
                <w:sz w:val="20"/>
                <w:szCs w:val="20"/>
              </w:rPr>
            </w:pPr>
            <w:r>
              <w:rPr>
                <w:rFonts w:ascii="宋体" w:hAnsi="宋体" w:cs="宋体"/>
                <w:kern w:val="0"/>
                <w:sz w:val="20"/>
                <w:szCs w:val="20"/>
              </w:rPr>
              <w:t>17(7+</w:t>
            </w:r>
            <w:r>
              <w:rPr>
                <w:rFonts w:ascii="宋体" w:cs="宋体"/>
                <w:kern w:val="0"/>
                <w:sz w:val="20"/>
                <w:szCs w:val="20"/>
              </w:rPr>
              <w:br w:type="textWrapping"/>
            </w:r>
            <w:r>
              <w:rPr>
                <w:rFonts w:ascii="宋体" w:hAnsi="宋体" w:cs="宋体"/>
                <w:kern w:val="0"/>
                <w:sz w:val="20"/>
                <w:szCs w:val="20"/>
              </w:rPr>
              <w:t>10+16)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2</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3</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4</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b/>
                <w:bCs/>
                <w:kern w:val="0"/>
                <w:sz w:val="20"/>
                <w:szCs w:val="20"/>
              </w:rPr>
            </w:pPr>
            <w:r>
              <w:rPr>
                <w:rFonts w:hint="eastAsia" w:ascii="宋体" w:hAnsi="宋体" w:cs="宋体"/>
                <w:b/>
                <w:bCs/>
                <w:kern w:val="0"/>
                <w:sz w:val="20"/>
                <w:szCs w:val="20"/>
              </w:rPr>
              <w:t>　</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5</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6</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0"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7</w:t>
            </w:r>
          </w:p>
        </w:tc>
        <w:tc>
          <w:tcPr>
            <w:tcW w:w="51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460"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46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61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77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574"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765"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634"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48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636"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819"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94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54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cs="宋体"/>
                <w:kern w:val="0"/>
                <w:sz w:val="20"/>
                <w:szCs w:val="20"/>
              </w:rPr>
            </w:pP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ascii="宋体" w:hAnsi="宋体" w:cs="宋体"/>
                <w:kern w:val="0"/>
                <w:sz w:val="20"/>
                <w:szCs w:val="20"/>
              </w:rPr>
              <w:t>8</w:t>
            </w:r>
          </w:p>
        </w:tc>
        <w:tc>
          <w:tcPr>
            <w:tcW w:w="9987" w:type="dxa"/>
            <w:gridSpan w:val="1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hint="eastAsia" w:ascii="宋体" w:hAnsi="宋体" w:cs="宋体"/>
                <w:kern w:val="0"/>
                <w:sz w:val="20"/>
                <w:szCs w:val="20"/>
              </w:rPr>
              <w:t>合计</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9</w:t>
            </w:r>
          </w:p>
        </w:tc>
        <w:tc>
          <w:tcPr>
            <w:tcW w:w="9987" w:type="dxa"/>
            <w:gridSpan w:val="1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cs="宋体"/>
                <w:kern w:val="0"/>
                <w:sz w:val="20"/>
                <w:szCs w:val="20"/>
              </w:rPr>
            </w:pPr>
            <w:r>
              <w:rPr>
                <w:rFonts w:ascii="宋体" w:hAnsi="宋体" w:cs="宋体"/>
                <w:kern w:val="0"/>
                <w:sz w:val="20"/>
                <w:szCs w:val="20"/>
              </w:rPr>
              <w:t xml:space="preserve">    </w:t>
            </w:r>
            <w:r>
              <w:rPr>
                <w:rFonts w:hint="eastAsia" w:ascii="宋体" w:hAnsi="宋体" w:cs="宋体"/>
                <w:kern w:val="0"/>
                <w:sz w:val="20"/>
                <w:szCs w:val="20"/>
              </w:rPr>
              <w:t>其中：直接投资或非</w:t>
            </w:r>
            <w:r>
              <w:rPr>
                <w:rFonts w:ascii="宋体" w:hAnsi="宋体" w:cs="宋体"/>
                <w:kern w:val="0"/>
                <w:sz w:val="20"/>
                <w:szCs w:val="20"/>
              </w:rPr>
              <w:t>H</w:t>
            </w:r>
            <w:r>
              <w:rPr>
                <w:rFonts w:hint="eastAsia" w:ascii="宋体" w:hAnsi="宋体" w:cs="宋体"/>
                <w:kern w:val="0"/>
                <w:sz w:val="20"/>
                <w:szCs w:val="20"/>
              </w:rPr>
              <w:t>股票投资</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1"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jc w:val="center"/>
              <w:rPr>
                <w:rFonts w:ascii="宋体" w:cs="宋体"/>
                <w:kern w:val="0"/>
                <w:sz w:val="20"/>
                <w:szCs w:val="20"/>
              </w:rPr>
            </w:pPr>
            <w:r>
              <w:rPr>
                <w:rFonts w:ascii="宋体" w:hAnsi="宋体" w:cs="宋体"/>
                <w:kern w:val="0"/>
                <w:sz w:val="20"/>
                <w:szCs w:val="20"/>
              </w:rPr>
              <w:t>10</w:t>
            </w:r>
          </w:p>
        </w:tc>
        <w:tc>
          <w:tcPr>
            <w:tcW w:w="9987" w:type="dxa"/>
            <w:gridSpan w:val="17"/>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cs="宋体"/>
                <w:kern w:val="0"/>
                <w:sz w:val="20"/>
                <w:szCs w:val="20"/>
              </w:rPr>
            </w:pPr>
            <w:r>
              <w:rPr>
                <w:rFonts w:ascii="宋体" w:hAnsi="宋体" w:cs="宋体"/>
                <w:kern w:val="0"/>
                <w:sz w:val="20"/>
                <w:szCs w:val="20"/>
              </w:rPr>
              <w:t xml:space="preserve">      </w:t>
            </w:r>
            <w:r>
              <w:rPr>
                <w:rFonts w:hint="eastAsia" w:ascii="宋体" w:hAnsi="宋体" w:cs="宋体"/>
                <w:kern w:val="0"/>
                <w:sz w:val="20"/>
                <w:szCs w:val="20"/>
              </w:rPr>
              <w:t>股票投资</w:t>
            </w:r>
            <w:r>
              <w:rPr>
                <w:rFonts w:ascii="宋体" w:hAnsi="宋体" w:cs="宋体"/>
                <w:kern w:val="0"/>
                <w:sz w:val="20"/>
                <w:szCs w:val="20"/>
              </w:rPr>
              <w:t>—</w:t>
            </w:r>
            <w:r>
              <w:rPr>
                <w:rFonts w:hint="eastAsia" w:ascii="宋体" w:hAnsi="宋体" w:cs="宋体"/>
                <w:kern w:val="0"/>
                <w:sz w:val="20"/>
                <w:szCs w:val="20"/>
              </w:rPr>
              <w:t>沪港通</w:t>
            </w:r>
            <w:r>
              <w:rPr>
                <w:rFonts w:ascii="宋体" w:hAnsi="宋体" w:cs="宋体"/>
                <w:kern w:val="0"/>
                <w:sz w:val="20"/>
                <w:szCs w:val="20"/>
              </w:rPr>
              <w:t>H</w:t>
            </w:r>
            <w:r>
              <w:rPr>
                <w:rFonts w:hint="eastAsia" w:ascii="宋体" w:hAnsi="宋体" w:cs="宋体"/>
                <w:kern w:val="0"/>
                <w:sz w:val="20"/>
                <w:szCs w:val="20"/>
              </w:rPr>
              <w:t>股</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11</w:t>
            </w:r>
          </w:p>
        </w:tc>
        <w:tc>
          <w:tcPr>
            <w:tcW w:w="9987" w:type="dxa"/>
            <w:gridSpan w:val="17"/>
            <w:tcBorders>
              <w:top w:val="single" w:color="auto" w:sz="6" w:space="0"/>
              <w:left w:val="single" w:color="auto" w:sz="6" w:space="0"/>
              <w:bottom w:val="single" w:color="auto" w:sz="6" w:space="0"/>
              <w:right w:val="single" w:color="auto" w:sz="6" w:space="0"/>
            </w:tcBorders>
            <w:noWrap w:val="0"/>
            <w:vAlign w:val="center"/>
          </w:tcPr>
          <w:p>
            <w:pPr>
              <w:widowControl/>
              <w:ind w:firstLine="1000" w:firstLineChars="500"/>
              <w:jc w:val="left"/>
              <w:rPr>
                <w:rFonts w:ascii="宋体" w:cs="宋体"/>
                <w:kern w:val="0"/>
                <w:sz w:val="20"/>
                <w:szCs w:val="20"/>
              </w:rPr>
            </w:pPr>
            <w:r>
              <w:rPr>
                <w:rFonts w:hint="eastAsia" w:ascii="宋体" w:hAnsi="宋体" w:cs="宋体"/>
                <w:kern w:val="0"/>
                <w:sz w:val="20"/>
                <w:szCs w:val="20"/>
              </w:rPr>
              <w:t>股票投资</w:t>
            </w:r>
            <w:r>
              <w:rPr>
                <w:rFonts w:ascii="宋体" w:hAnsi="宋体" w:cs="宋体"/>
                <w:kern w:val="0"/>
                <w:sz w:val="20"/>
                <w:szCs w:val="20"/>
              </w:rPr>
              <w:t>—</w:t>
            </w:r>
            <w:r>
              <w:rPr>
                <w:rFonts w:hint="eastAsia" w:ascii="宋体" w:hAnsi="宋体" w:cs="宋体"/>
                <w:kern w:val="0"/>
                <w:sz w:val="20"/>
                <w:szCs w:val="20"/>
              </w:rPr>
              <w:t>深港通</w:t>
            </w:r>
            <w:r>
              <w:rPr>
                <w:rFonts w:ascii="宋体" w:hAnsi="宋体" w:cs="宋体"/>
                <w:kern w:val="0"/>
                <w:sz w:val="20"/>
                <w:szCs w:val="20"/>
              </w:rPr>
              <w:t>H</w:t>
            </w:r>
            <w:r>
              <w:rPr>
                <w:rFonts w:hint="eastAsia" w:ascii="宋体" w:hAnsi="宋体" w:cs="宋体"/>
                <w:kern w:val="0"/>
                <w:sz w:val="20"/>
                <w:szCs w:val="20"/>
              </w:rPr>
              <w:t>股</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452"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12</w:t>
            </w:r>
          </w:p>
        </w:tc>
        <w:tc>
          <w:tcPr>
            <w:tcW w:w="9987" w:type="dxa"/>
            <w:gridSpan w:val="17"/>
            <w:tcBorders>
              <w:top w:val="single" w:color="auto" w:sz="6" w:space="0"/>
              <w:left w:val="single" w:color="auto" w:sz="6" w:space="0"/>
              <w:bottom w:val="single" w:color="auto" w:sz="6" w:space="0"/>
              <w:right w:val="single" w:color="auto" w:sz="6" w:space="0"/>
            </w:tcBorders>
            <w:noWrap w:val="0"/>
            <w:vAlign w:val="center"/>
          </w:tcPr>
          <w:p>
            <w:pPr>
              <w:widowControl/>
              <w:ind w:firstLine="1000" w:firstLineChars="500"/>
              <w:jc w:val="left"/>
              <w:rPr>
                <w:rFonts w:ascii="宋体" w:cs="宋体"/>
                <w:kern w:val="0"/>
                <w:sz w:val="20"/>
                <w:szCs w:val="20"/>
              </w:rPr>
            </w:pPr>
            <w:r>
              <w:rPr>
                <w:rFonts w:hint="eastAsia" w:ascii="宋体" w:hAnsi="宋体" w:cs="宋体"/>
                <w:kern w:val="0"/>
                <w:sz w:val="20"/>
                <w:szCs w:val="20"/>
              </w:rPr>
              <w:t>创新企业</w:t>
            </w:r>
            <w:r>
              <w:rPr>
                <w:rFonts w:ascii="宋体" w:hAnsi="宋体" w:cs="宋体"/>
                <w:kern w:val="0"/>
                <w:sz w:val="20"/>
                <w:szCs w:val="20"/>
              </w:rPr>
              <w:t xml:space="preserve">CDR </w:t>
            </w:r>
          </w:p>
        </w:tc>
        <w:tc>
          <w:tcPr>
            <w:tcW w:w="520"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 w:hRule="atLeast"/>
          <w:jc w:val="center"/>
        </w:trPr>
        <w:tc>
          <w:tcPr>
            <w:tcW w:w="452" w:type="dxa"/>
            <w:tcBorders>
              <w:top w:val="single" w:color="auto" w:sz="6" w:space="0"/>
              <w:left w:val="single" w:color="auto" w:sz="12" w:space="0"/>
              <w:bottom w:val="single" w:color="auto" w:sz="12" w:space="0"/>
              <w:right w:val="single" w:color="auto" w:sz="6" w:space="0"/>
            </w:tcBorders>
            <w:noWrap w:val="0"/>
            <w:vAlign w:val="center"/>
          </w:tcPr>
          <w:p>
            <w:pPr>
              <w:widowControl/>
              <w:jc w:val="center"/>
              <w:rPr>
                <w:rFonts w:ascii="宋体" w:cs="宋体"/>
                <w:kern w:val="0"/>
                <w:sz w:val="20"/>
                <w:szCs w:val="20"/>
              </w:rPr>
            </w:pPr>
            <w:r>
              <w:rPr>
                <w:rFonts w:ascii="宋体" w:hAnsi="宋体" w:cs="宋体"/>
                <w:kern w:val="0"/>
                <w:sz w:val="20"/>
                <w:szCs w:val="20"/>
              </w:rPr>
              <w:t>13</w:t>
            </w:r>
          </w:p>
        </w:tc>
        <w:tc>
          <w:tcPr>
            <w:tcW w:w="9987" w:type="dxa"/>
            <w:gridSpan w:val="17"/>
            <w:tcBorders>
              <w:top w:val="single" w:color="auto" w:sz="6" w:space="0"/>
              <w:left w:val="single" w:color="auto" w:sz="6" w:space="0"/>
              <w:bottom w:val="single" w:color="auto" w:sz="12" w:space="0"/>
              <w:right w:val="single" w:color="auto" w:sz="6" w:space="0"/>
            </w:tcBorders>
            <w:noWrap w:val="0"/>
            <w:vAlign w:val="center"/>
          </w:tcPr>
          <w:p>
            <w:pPr>
              <w:widowControl/>
              <w:ind w:firstLine="1000" w:firstLineChars="500"/>
              <w:jc w:val="left"/>
              <w:rPr>
                <w:rFonts w:ascii="宋体" w:cs="宋体"/>
                <w:kern w:val="0"/>
                <w:sz w:val="20"/>
                <w:szCs w:val="20"/>
              </w:rPr>
            </w:pPr>
            <w:r>
              <w:rPr>
                <w:rFonts w:hint="eastAsia" w:ascii="宋体" w:hAnsi="宋体" w:cs="宋体"/>
                <w:kern w:val="0"/>
                <w:sz w:val="20"/>
                <w:szCs w:val="20"/>
              </w:rPr>
              <w:t>永续债</w:t>
            </w:r>
          </w:p>
        </w:tc>
        <w:tc>
          <w:tcPr>
            <w:tcW w:w="520" w:type="dxa"/>
            <w:tcBorders>
              <w:top w:val="single" w:color="auto" w:sz="6" w:space="0"/>
              <w:left w:val="single" w:color="auto" w:sz="6" w:space="0"/>
              <w:bottom w:val="single" w:color="auto" w:sz="12" w:space="0"/>
              <w:right w:val="single" w:color="auto" w:sz="12" w:space="0"/>
            </w:tcBorders>
            <w:noWrap w:val="0"/>
            <w:vAlign w:val="center"/>
          </w:tcPr>
          <w:p>
            <w:pPr>
              <w:widowControl/>
              <w:jc w:val="right"/>
              <w:rPr>
                <w:rFonts w:ascii="宋体" w:cs="宋体"/>
                <w:kern w:val="0"/>
                <w:sz w:val="20"/>
                <w:szCs w:val="20"/>
              </w:rPr>
            </w:pPr>
          </w:p>
        </w:tc>
      </w:tr>
    </w:tbl>
    <w:p>
      <w:pPr>
        <w:pStyle w:val="4"/>
        <w:bidi w:val="0"/>
        <w:rPr>
          <w:rFonts w:hint="eastAsia"/>
          <w:lang w:eastAsia="zh-CN"/>
        </w:rPr>
      </w:pPr>
      <w:r>
        <w:rPr>
          <w:rFonts w:hint="eastAsia"/>
          <w:lang w:eastAsia="zh-CN"/>
        </w:rPr>
        <w:t>A107011</w:t>
      </w:r>
      <w:r>
        <w:rPr>
          <w:rFonts w:hint="eastAsia"/>
          <w:lang w:eastAsia="zh-CN"/>
        </w:rPr>
        <w:tab/>
      </w:r>
      <w:r>
        <w:rPr>
          <w:rFonts w:hint="eastAsia"/>
          <w:lang w:eastAsia="zh-CN"/>
        </w:rPr>
        <w:t>《符合条件的居民企业之间的股息、红利等权益性投资收益优惠明细表》填报说明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本表适用于享受符合条件的居民企业之间的股息、红利等权益性投资收益优惠的纳税人填报。纳税人根据税法、《财政部　国家税务总局关于企业清算业务企业所得税处理若干问题的通知》（财税〔2009〕60号）、《财政部　国家税务总局关于执行企业所得税优惠政策若干问题的通知》（财税〔2009〕69号）、《国家税务总局关于贯彻落实企业所得税法若干税收问题的通知》（国税函〔2010〕79号）、《国家税务总局关于企业所得税若干问题的公告》（国家税务总局公告2011年第34号）、《财政部 国家税务总局 证监会关于沪港股票市场交易互联互通机制试点有关税收政策的通知》（财税〔2014〕81号）、《财政部 国家税务总局 证监会关于深港股票市场交易互联互通机制试点有关税收政策的通知》（财税〔2016〕127号）、《财政部 税务总局 证监会关于创新企业境内发行存托凭证试点阶段有关税收政策的公告》（财政部 税务总局 证监会公告2019年第52号）、《财政部 税务总局关于永续债企业所得税政策问题的公告》（财政部 税务总局公告2019年第64号）等相关税收政策规定，填报本年发生的符合条件的居民企业之间的股息、红利（包括H股）等权益性投资收益优惠情况，不包括连续持有居民企业公开发行并上市流通的股票不足12个月取得的投资收益。</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1、行次根据投资企业名称和投资性质填报，可以根据情况增加。</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2、第8行“合计”：填报第1+2+…+7行的第17列合计金额，若增行，根据增行后的情况合计。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3、第9行“其中：直接或非H股票投资”：填报第1+2…+7行中，“投资性质”列选择“（1）直接投资”或“（2）股票投资（不含H股）”的行次，第17列合计金额。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4、第10行“股票投资—沪港通H股”：填报第1+2…+7行中，“投资性质”列选择“（3）股票投资（沪港通H股投资）”的行次，第17列合计金额。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5、第11行“股票投资—深港通H股”：填报第1+2…+7行中，“投资性质”列选择“（4）股票投资（深港通H股投资）”的行次，第17列合计金额。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6、第12行“创新企业CDR”：填报第1+2…+7行中，“投资性质”列选择“（5）创新企业CDR”的行次，第17列合计金额。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7、第13行“永续债”：填报第1+2…+7行中，“投资性质”列选择“（6）永续债”的行次，第17列合计金额。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1、第1列“被投资企业”：填报被投资企业名称。</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2、第2列“被投资企业统一社会信用代码（纳税人识别号）”：填报被投资企业工商等部门核发的纳税人统一社会信用代码。未取得统一社会信用代码的，填报税务机关核发的纳税人识别号。</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3、第3列“投资性质”：按选项填报：（1）直接投资、（2）股票投资（不含H股）、（3）股票投资（沪港通H股投资）、（4）股票投资（深港通H股投资）、（5）创新企业CDR、（6）永续债。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符合财税〔2014〕81号文件第一条第（四）项第1目规定，享受沪港通H股股息红利免税政策的企业，选择“（3）股票投资（沪港通H股投资）”。</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符合财税〔2016〕127号文件第一条第(四)项第1目规定，享受深港通H股股息红利免税政策的企业，选择“（4）股票投资（深港通H股投资）”。</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符合《财政部 税务总局 证监会关于创新企业境内发行存托凭证试点阶段有关税收政策的公告》（财政部 税务总局 证监会公告2019年第52号）第二条第1款规定，享受对持有创新企业CDR取得的股息红利所得按规定免征企业所得税的，选择“（5）创新企业CDR”。</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符合《财政部 税务总局关于永续债企业所得税政策问题的公告》（财政部 税务总局公告2019年第64号）第一条规定，享受永续债利息收入免征企业所得税的企业，选择“（6）永续债”。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4、第4列“投资成本”：填报纳税人投资于被投资企业的计税成本。</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5、第5列“投资比例”：填报纳税人投资于被投资企业的股权比例。若购买公开发行股票的，此列可不填报。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6、第6列“被投资企业做出利润分配或转股决定时间”：填报被投资企业做出利润分配或转股决定的时间。</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列“依决定归属于本公司的股息、红利等权益性投资收益金额”：填报纳税人按照投资比例或者其他方法计算的，实际归属于本公司的股息、红利等权益性投资收益金额。若被投资企业将股权（票）溢价所形成的资本公积转为股本的，不作为投资方企业的股息、红利收入，投资方企业也不得增加该项长期投资的计税基础。</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8、第8列“分得的被投资企业清算剩余资产”：填报纳税人分得的被投资企业清算后的剩余资产。</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9、第9列“被清算企业累计未分配利润和累计盈余公积应享有部分”：填报被清算企业累计未分配利润和累计盈余公积中本企业应享有的金额。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10、第10列“应确认的股息所得”：填报第7列与第8列孰小值。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11、第11列“从被投资企业撤回或减少投资取得的资产”：填报纳税人从被投资企业撤回或减少投资时取得的资产。</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12、第12列“减少投资比例”：填报纳税人撤回或减少的投资额占投资方在被投资企业持有总投资比例。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13、第13列“收回初始投资成本”：填报第3×11列的金额。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14、第14列“取得资产中超过收回初始投资成本部分”：填报第11-13列的余额。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15、第15列“撤回或减少投资应享有被投资企业累计未分配利润和累计盈余公积”：填报被投资企业累计未分配利润和累计盈余公积按减少实收资本比例计算的部分。</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16、第16列“应确认的股息所得”：填报第13列与第14列孰小值。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17、第17列“合计”：填报第7+10+16列的合计金额。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1、第13列＝第4×12列。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2、第14列＝第11-13列。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3、第17列＝第7+10+16列。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4、第10列＝第8列与第9列孰小值。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5、第16列＝第14列与第15列孰小值。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6、第8行（“合计”行）＝第1+2+…+7行第17列合计。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7、第9行（“直接投资或非H股票投资”合计行）=第1+2+…+7行中，各行第3列选择“（1）直接投资”或“（2）股票投资（不含H股）”的行次第17列合计金额。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8、第10行（“股票投资—沪港通H股”合计行）＝第1+2+…+7行中，各行第3列选择“（3）股票投资（沪港通H股投资）”的行次第17列合计金额。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9、第11行（“股票投资—深港通H股”合计行）＝第1+2…+7行中，各行第3列选择“（4）股票投资（深港通H股投资）”的行次第17列合计金额。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 第12行（“创新企业CDR”合计行）=第1+2…+7行中，“投资性质”列选择“（5）居民企业持有CDR”的行次第17列合计金额。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11、第13行（“永续债”合计行）=第1+2…+7行中，“投资性质”列选择“（6）符合条件的永续债”的行次第17列合计金额。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1、第8行第17列＝表A107010第3行。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2、第9行第17列＝表A107010第4行。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3、第10行第17列＝表A107010第5行。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4、第11行第17列＝表A107010第6行。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5、第12行第17列＝表A107010第7行。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6、第13行第17列＝表A107010第8行。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A107012</w:t>
      </w:r>
      <w:r>
        <w:rPr>
          <w:rFonts w:hint="eastAsia"/>
          <w:lang w:eastAsia="zh-CN"/>
        </w:rPr>
        <w:tab/>
      </w:r>
      <w:r>
        <w:rPr>
          <w:rFonts w:hint="eastAsia"/>
          <w:lang w:eastAsia="zh-CN"/>
        </w:rPr>
        <w:t>研发费用加计扣除优惠明细表</w:t>
      </w:r>
    </w:p>
    <w:tbl>
      <w:tblPr>
        <w:tblStyle w:val="8"/>
        <w:tblpPr w:leftFromText="180" w:rightFromText="180" w:vertAnchor="text" w:horzAnchor="page" w:tblpX="1182" w:tblpY="536"/>
        <w:tblOverlap w:val="never"/>
        <w:tblW w:w="97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8"/>
        <w:gridCol w:w="7770"/>
        <w:gridCol w:w="12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12" w:space="0"/>
              <w:left w:val="single" w:color="auto" w:sz="12" w:space="0"/>
              <w:bottom w:val="single" w:color="auto" w:sz="8" w:space="0"/>
              <w:right w:val="single" w:color="auto" w:sz="8" w:space="0"/>
            </w:tcBorders>
            <w:shd w:val="clear" w:color="000000" w:fill="FFFFFF"/>
            <w:noWrap w:val="0"/>
            <w:vAlign w:val="center"/>
          </w:tcPr>
          <w:p>
            <w:pPr>
              <w:widowControl/>
              <w:jc w:val="center"/>
              <w:rPr>
                <w:rFonts w:ascii="宋体" w:hAnsi="宋体" w:cs="宋体"/>
                <w:b/>
                <w:kern w:val="0"/>
                <w:sz w:val="20"/>
                <w:szCs w:val="20"/>
              </w:rPr>
            </w:pPr>
            <w:r>
              <w:rPr>
                <w:rFonts w:hint="eastAsia" w:ascii="宋体" w:hAnsi="宋体" w:cs="宋体"/>
                <w:b/>
                <w:kern w:val="0"/>
                <w:sz w:val="20"/>
                <w:szCs w:val="20"/>
              </w:rPr>
              <w:t>行次</w:t>
            </w:r>
          </w:p>
        </w:tc>
        <w:tc>
          <w:tcPr>
            <w:tcW w:w="7770" w:type="dxa"/>
            <w:tcBorders>
              <w:top w:val="single" w:color="auto" w:sz="12" w:space="0"/>
              <w:left w:val="single" w:color="auto" w:sz="8" w:space="0"/>
              <w:bottom w:val="single" w:color="auto" w:sz="8" w:space="0"/>
              <w:right w:val="single" w:color="auto" w:sz="8" w:space="0"/>
            </w:tcBorders>
            <w:shd w:val="clear" w:color="000000" w:fill="FFFFFF"/>
            <w:noWrap w:val="0"/>
            <w:vAlign w:val="center"/>
          </w:tcPr>
          <w:p>
            <w:pPr>
              <w:widowControl/>
              <w:jc w:val="center"/>
              <w:rPr>
                <w:rFonts w:hint="eastAsia" w:ascii="宋体" w:hAnsi="宋体" w:cs="宋体"/>
                <w:b/>
                <w:kern w:val="0"/>
                <w:sz w:val="20"/>
                <w:szCs w:val="20"/>
              </w:rPr>
            </w:pPr>
            <w:r>
              <w:rPr>
                <w:rFonts w:hint="eastAsia" w:ascii="宋体" w:hAnsi="宋体" w:cs="宋体"/>
                <w:b/>
                <w:kern w:val="0"/>
                <w:sz w:val="20"/>
                <w:szCs w:val="20"/>
              </w:rPr>
              <w:t>项    目</w:t>
            </w:r>
          </w:p>
        </w:tc>
        <w:tc>
          <w:tcPr>
            <w:tcW w:w="1233" w:type="dxa"/>
            <w:tcBorders>
              <w:top w:val="single" w:color="auto" w:sz="12" w:space="0"/>
              <w:left w:val="single" w:color="auto" w:sz="8" w:space="0"/>
              <w:bottom w:val="single" w:color="auto" w:sz="8" w:space="0"/>
              <w:right w:val="single" w:color="auto" w:sz="12" w:space="0"/>
            </w:tcBorders>
            <w:shd w:val="clear" w:color="000000" w:fill="FFFFFF"/>
            <w:noWrap w:val="0"/>
            <w:vAlign w:val="center"/>
          </w:tcPr>
          <w:p>
            <w:pPr>
              <w:widowControl/>
              <w:jc w:val="center"/>
              <w:rPr>
                <w:rFonts w:hint="eastAsia" w:ascii="宋体" w:hAnsi="宋体" w:cs="宋体"/>
                <w:b/>
                <w:kern w:val="0"/>
                <w:sz w:val="20"/>
                <w:szCs w:val="20"/>
              </w:rPr>
            </w:pPr>
            <w:r>
              <w:rPr>
                <w:rFonts w:hint="eastAsia" w:ascii="宋体" w:hAnsi="宋体" w:cs="宋体"/>
                <w:b/>
                <w:kern w:val="0"/>
                <w:sz w:val="20"/>
                <w:szCs w:val="20"/>
              </w:rPr>
              <w:t>金额（数量）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本年可享受研发费用加计扣除项目数量</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hAnsi="宋体" w:cs="宋体"/>
                <w:kern w:val="0"/>
                <w:sz w:val="20"/>
                <w:szCs w:val="20"/>
              </w:rPr>
            </w:pPr>
            <w:r>
              <w:rPr>
                <w:rFonts w:ascii="宋体" w:hAnsi="宋体" w:cs="宋体"/>
                <w:kern w:val="0"/>
                <w:sz w:val="20"/>
                <w:szCs w:val="20"/>
              </w:rPr>
              <w:t>2</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hint="eastAsia" w:ascii="宋体" w:hAnsi="宋体" w:cs="宋体"/>
                <w:kern w:val="0"/>
                <w:sz w:val="20"/>
                <w:szCs w:val="20"/>
              </w:rPr>
            </w:pPr>
            <w:r>
              <w:rPr>
                <w:rFonts w:hint="eastAsia" w:ascii="宋体" w:hAnsi="宋体" w:cs="宋体"/>
                <w:kern w:val="0"/>
                <w:sz w:val="20"/>
                <w:szCs w:val="20"/>
              </w:rPr>
              <w:t>一、自主研发、合作研发、集中研发（</w:t>
            </w:r>
            <w:r>
              <w:rPr>
                <w:rFonts w:ascii="宋体" w:hAnsi="宋体" w:cs="宋体"/>
                <w:kern w:val="0"/>
                <w:sz w:val="20"/>
                <w:szCs w:val="20"/>
              </w:rPr>
              <w:t>3+7+16+19+23+34</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（一）人员人工费用（</w:t>
            </w:r>
            <w:r>
              <w:rPr>
                <w:rFonts w:ascii="宋体" w:hAnsi="宋体" w:cs="宋体"/>
                <w:kern w:val="0"/>
                <w:sz w:val="20"/>
                <w:szCs w:val="20"/>
              </w:rPr>
              <w:t>4+5+6</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直接从事研发活动人员工资薪金</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5</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直接从事研发活动人员五险一金</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6</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外聘研发人员的劳务费用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7</w:t>
            </w:r>
          </w:p>
        </w:tc>
        <w:tc>
          <w:tcPr>
            <w:tcW w:w="7770"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（二）直接投入费用（</w:t>
            </w:r>
            <w:r>
              <w:rPr>
                <w:rFonts w:ascii="宋体" w:hAnsi="宋体" w:cs="宋体"/>
                <w:kern w:val="0"/>
                <w:sz w:val="20"/>
                <w:szCs w:val="20"/>
              </w:rPr>
              <w:t>8+9+</w:t>
            </w:r>
            <w:r>
              <w:rPr>
                <w:rFonts w:hint="eastAsia" w:ascii="宋体" w:hAnsi="宋体" w:cs="宋体"/>
                <w:kern w:val="0"/>
                <w:sz w:val="20"/>
                <w:szCs w:val="20"/>
              </w:rPr>
              <w:t>10+11+12+13+14</w:t>
            </w:r>
            <w:r>
              <w:rPr>
                <w:rFonts w:ascii="宋体" w:hAnsi="宋体" w:cs="宋体"/>
                <w:kern w:val="0"/>
                <w:sz w:val="20"/>
                <w:szCs w:val="20"/>
              </w:rPr>
              <w:t>+15</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8</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研发活动直接消耗材料费用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9</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研发活动直接消耗燃料费用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10</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研发活动直接消耗动力费用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11</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4</w:t>
            </w:r>
            <w:r>
              <w:rPr>
                <w:rFonts w:hint="eastAsia" w:ascii="宋体" w:hAnsi="宋体" w:eastAsia="宋体" w:cs="宋体"/>
                <w:kern w:val="0"/>
                <w:sz w:val="20"/>
                <w:szCs w:val="20"/>
                <w:lang w:eastAsia="zh-CN"/>
              </w:rPr>
              <w:t>、</w:t>
            </w:r>
            <w:r>
              <w:rPr>
                <w:rFonts w:hint="eastAsia" w:ascii="宋体" w:hAnsi="宋体" w:cs="宋体"/>
                <w:kern w:val="0"/>
                <w:sz w:val="20"/>
                <w:szCs w:val="20"/>
              </w:rPr>
              <w:t>用于中间试验和产品试制的模具、工艺装备开发及制造费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12</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5</w:t>
            </w:r>
            <w:r>
              <w:rPr>
                <w:rFonts w:hint="eastAsia" w:ascii="宋体" w:hAnsi="宋体" w:eastAsia="宋体" w:cs="宋体"/>
                <w:kern w:val="0"/>
                <w:sz w:val="20"/>
                <w:szCs w:val="20"/>
                <w:lang w:eastAsia="zh-CN"/>
              </w:rPr>
              <w:t>、</w:t>
            </w:r>
            <w:r>
              <w:rPr>
                <w:rFonts w:hint="eastAsia" w:ascii="宋体" w:hAnsi="宋体" w:cs="宋体"/>
                <w:kern w:val="0"/>
                <w:sz w:val="20"/>
                <w:szCs w:val="20"/>
              </w:rPr>
              <w:t>用于不构成固定资产的样品、样机及一般测试手段购置费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13</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6</w:t>
            </w:r>
            <w:r>
              <w:rPr>
                <w:rFonts w:hint="eastAsia" w:ascii="宋体" w:hAnsi="宋体" w:eastAsia="宋体" w:cs="宋体"/>
                <w:kern w:val="0"/>
                <w:sz w:val="20"/>
                <w:szCs w:val="20"/>
                <w:lang w:eastAsia="zh-CN"/>
              </w:rPr>
              <w:t>、</w:t>
            </w:r>
            <w:r>
              <w:rPr>
                <w:rFonts w:hint="eastAsia" w:ascii="宋体" w:hAnsi="宋体" w:cs="宋体"/>
                <w:kern w:val="0"/>
                <w:sz w:val="20"/>
                <w:szCs w:val="20"/>
              </w:rPr>
              <w:t>用于试制产品的检验费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14</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7</w:t>
            </w:r>
            <w:r>
              <w:rPr>
                <w:rFonts w:hint="eastAsia" w:ascii="宋体" w:hAnsi="宋体" w:eastAsia="宋体" w:cs="宋体"/>
                <w:kern w:val="0"/>
                <w:sz w:val="20"/>
                <w:szCs w:val="20"/>
                <w:lang w:eastAsia="zh-CN"/>
              </w:rPr>
              <w:t>、</w:t>
            </w:r>
            <w:r>
              <w:rPr>
                <w:rFonts w:hint="eastAsia" w:ascii="宋体" w:hAnsi="宋体" w:cs="宋体"/>
                <w:kern w:val="0"/>
                <w:sz w:val="20"/>
                <w:szCs w:val="20"/>
              </w:rPr>
              <w:t>用于研发活动的仪器、设备的运行维护、调整、检验、维修等费用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15</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8</w:t>
            </w:r>
            <w:r>
              <w:rPr>
                <w:rFonts w:hint="eastAsia" w:ascii="宋体" w:hAnsi="宋体" w:eastAsia="宋体" w:cs="宋体"/>
                <w:kern w:val="0"/>
                <w:sz w:val="20"/>
                <w:szCs w:val="20"/>
                <w:lang w:eastAsia="zh-CN"/>
              </w:rPr>
              <w:t>、</w:t>
            </w:r>
            <w:r>
              <w:rPr>
                <w:rFonts w:hint="eastAsia" w:ascii="宋体" w:hAnsi="宋体" w:cs="宋体"/>
                <w:kern w:val="0"/>
                <w:sz w:val="20"/>
                <w:szCs w:val="20"/>
              </w:rPr>
              <w:t>通过经营租赁方式租入的用于研发活动的仪器、设备租赁费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16</w:t>
            </w:r>
          </w:p>
        </w:tc>
        <w:tc>
          <w:tcPr>
            <w:tcW w:w="7770"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（三）折旧费用（</w:t>
            </w:r>
            <w:r>
              <w:rPr>
                <w:rFonts w:ascii="宋体" w:hAnsi="宋体" w:cs="宋体"/>
                <w:kern w:val="0"/>
                <w:sz w:val="20"/>
                <w:szCs w:val="20"/>
              </w:rPr>
              <w:t>17+18</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17</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用于研发活动的仪器的折旧费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18</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用于研发活动的设备的折旧费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19</w:t>
            </w:r>
          </w:p>
        </w:tc>
        <w:tc>
          <w:tcPr>
            <w:tcW w:w="7770"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（四）无形资产摊销（</w:t>
            </w:r>
            <w:r>
              <w:rPr>
                <w:rFonts w:ascii="宋体" w:hAnsi="宋体" w:cs="宋体"/>
                <w:kern w:val="0"/>
                <w:sz w:val="20"/>
                <w:szCs w:val="20"/>
              </w:rPr>
              <w:t>20+21+22</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20</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用于研发活动的软件的摊销费用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21</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用于研发活动的专利权的摊销费用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22</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left="1014" w:leftChars="381" w:hanging="214" w:hangingChars="107"/>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用于研发活动的非专利技术（包括许可证、专有技术、设计和计算方法等）的摊销费用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23</w:t>
            </w:r>
          </w:p>
        </w:tc>
        <w:tc>
          <w:tcPr>
            <w:tcW w:w="7770"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（五）新产品设计费等（</w:t>
            </w:r>
            <w:r>
              <w:rPr>
                <w:rFonts w:ascii="宋体" w:hAnsi="宋体" w:cs="宋体"/>
                <w:kern w:val="0"/>
                <w:sz w:val="20"/>
                <w:szCs w:val="20"/>
              </w:rPr>
              <w:t>24+25+26+27</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24</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新产品设计费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25</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新工艺规程制定费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26</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新药研制的临床试验费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27</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4</w:t>
            </w:r>
            <w:r>
              <w:rPr>
                <w:rFonts w:hint="eastAsia" w:ascii="宋体" w:hAnsi="宋体" w:eastAsia="宋体" w:cs="宋体"/>
                <w:kern w:val="0"/>
                <w:sz w:val="20"/>
                <w:szCs w:val="20"/>
                <w:lang w:eastAsia="zh-CN"/>
              </w:rPr>
              <w:t>、</w:t>
            </w:r>
            <w:r>
              <w:rPr>
                <w:rFonts w:hint="eastAsia" w:ascii="宋体" w:hAnsi="宋体" w:cs="宋体"/>
                <w:kern w:val="0"/>
                <w:sz w:val="20"/>
                <w:szCs w:val="20"/>
              </w:rPr>
              <w:t>勘探开发技术的现场试验费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28</w:t>
            </w:r>
          </w:p>
        </w:tc>
        <w:tc>
          <w:tcPr>
            <w:tcW w:w="7770"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（六）其他相关费用</w:t>
            </w:r>
            <w:r>
              <w:rPr>
                <w:rFonts w:ascii="宋体" w:hAnsi="宋体" w:cs="宋体"/>
                <w:kern w:val="0"/>
                <w:sz w:val="20"/>
                <w:szCs w:val="20"/>
              </w:rPr>
              <w:t>(29+30+31+32+33)</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29</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技术图书资料费、资料翻译费、专家咨询费、高新科技研发保险费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30</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研发成果的检索、分析、评议、论证、鉴定、评审、评估、验收费用</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31</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知识产权的申请费、注册费、代理费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32</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4</w:t>
            </w:r>
            <w:r>
              <w:rPr>
                <w:rFonts w:hint="eastAsia" w:ascii="宋体" w:hAnsi="宋体" w:eastAsia="宋体" w:cs="宋体"/>
                <w:kern w:val="0"/>
                <w:sz w:val="20"/>
                <w:szCs w:val="20"/>
                <w:lang w:eastAsia="zh-CN"/>
              </w:rPr>
              <w:t>、</w:t>
            </w:r>
            <w:r>
              <w:rPr>
                <w:rFonts w:hint="eastAsia" w:ascii="宋体" w:hAnsi="宋体" w:cs="宋体"/>
                <w:kern w:val="0"/>
                <w:sz w:val="20"/>
                <w:szCs w:val="20"/>
              </w:rPr>
              <w:t>职工福利费、补充养老保险费、补充医疗保险费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33</w:t>
            </w:r>
          </w:p>
        </w:tc>
        <w:tc>
          <w:tcPr>
            <w:tcW w:w="7770" w:type="dxa"/>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5</w:t>
            </w:r>
            <w:r>
              <w:rPr>
                <w:rFonts w:hint="eastAsia" w:ascii="宋体" w:hAnsi="宋体" w:eastAsia="宋体" w:cs="宋体"/>
                <w:kern w:val="0"/>
                <w:sz w:val="20"/>
                <w:szCs w:val="20"/>
                <w:lang w:eastAsia="zh-CN"/>
              </w:rPr>
              <w:t>、</w:t>
            </w:r>
            <w:r>
              <w:rPr>
                <w:rFonts w:hint="eastAsia" w:ascii="宋体" w:hAnsi="宋体" w:cs="宋体"/>
                <w:kern w:val="0"/>
                <w:sz w:val="20"/>
                <w:szCs w:val="20"/>
              </w:rPr>
              <w:t>差旅费、会议费</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34</w:t>
            </w:r>
          </w:p>
        </w:tc>
        <w:tc>
          <w:tcPr>
            <w:tcW w:w="7770" w:type="dxa"/>
            <w:tcBorders>
              <w:top w:val="single" w:color="auto" w:sz="6" w:space="0"/>
              <w:left w:val="single" w:color="auto" w:sz="6" w:space="0"/>
              <w:bottom w:val="single" w:color="auto" w:sz="6" w:space="0"/>
              <w:right w:val="single" w:color="auto" w:sz="6" w:space="0"/>
            </w:tcBorders>
            <w:shd w:val="clear" w:color="auto" w:fill="auto"/>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（七）经限额调整后的其他相关费用</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35</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二、委托研发</w:t>
            </w:r>
            <w:r>
              <w:rPr>
                <w:rFonts w:ascii="宋体" w:hAnsi="宋体" w:cs="宋体"/>
                <w:kern w:val="0"/>
                <w:sz w:val="20"/>
                <w:szCs w:val="20"/>
              </w:rPr>
              <w:t xml:space="preserve"> (36+37+39)</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36</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18" w:firstLineChars="209"/>
              <w:jc w:val="left"/>
              <w:rPr>
                <w:rFonts w:ascii="宋体"/>
                <w:kern w:val="0"/>
                <w:sz w:val="20"/>
                <w:szCs w:val="20"/>
              </w:rPr>
            </w:pPr>
            <w:r>
              <w:rPr>
                <w:rFonts w:hint="eastAsia" w:ascii="宋体" w:hAnsi="宋体" w:cs="宋体"/>
                <w:kern w:val="0"/>
                <w:sz w:val="20"/>
                <w:szCs w:val="20"/>
              </w:rPr>
              <w:t>（一）委托境内机构或个人进行研发活动所发生的费用</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37</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18" w:firstLineChars="209"/>
              <w:jc w:val="left"/>
              <w:rPr>
                <w:rFonts w:ascii="宋体"/>
                <w:kern w:val="0"/>
                <w:sz w:val="20"/>
                <w:szCs w:val="20"/>
              </w:rPr>
            </w:pPr>
            <w:r>
              <w:rPr>
                <w:rFonts w:hint="eastAsia" w:ascii="宋体" w:hAnsi="宋体" w:cs="宋体"/>
                <w:kern w:val="0"/>
                <w:sz w:val="20"/>
                <w:szCs w:val="20"/>
              </w:rPr>
              <w:t>（二）委托境外机构进行研发活动发生的费用</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38</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800" w:firstLineChars="400"/>
              <w:jc w:val="left"/>
              <w:rPr>
                <w:rFonts w:ascii="宋体"/>
                <w:kern w:val="0"/>
                <w:sz w:val="20"/>
                <w:szCs w:val="20"/>
              </w:rPr>
            </w:pPr>
            <w:r>
              <w:rPr>
                <w:rFonts w:hint="eastAsia" w:ascii="宋体" w:hAnsi="宋体" w:cs="宋体"/>
                <w:kern w:val="0"/>
                <w:sz w:val="20"/>
                <w:szCs w:val="20"/>
              </w:rPr>
              <w:t>其中：允许加计扣除的委托境外机构进行研发活动发生的费用</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39</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18" w:firstLineChars="209"/>
              <w:jc w:val="left"/>
              <w:rPr>
                <w:rFonts w:ascii="宋体"/>
                <w:kern w:val="0"/>
                <w:sz w:val="20"/>
                <w:szCs w:val="20"/>
              </w:rPr>
            </w:pPr>
            <w:r>
              <w:rPr>
                <w:rFonts w:hint="eastAsia" w:ascii="宋体" w:hAnsi="宋体" w:cs="宋体"/>
                <w:kern w:val="0"/>
                <w:sz w:val="20"/>
                <w:szCs w:val="20"/>
              </w:rPr>
              <w:t>（三）委托境外个人进行研发活动发生的费用</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40</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三、年度研发费用小计</w:t>
            </w:r>
            <w:r>
              <w:rPr>
                <w:rFonts w:ascii="宋体" w:hAnsi="宋体" w:cs="宋体"/>
                <w:kern w:val="0"/>
                <w:sz w:val="20"/>
                <w:szCs w:val="20"/>
              </w:rPr>
              <w:t>(2+36</w:t>
            </w:r>
            <w:r>
              <w:rPr>
                <w:rFonts w:hint="eastAsia" w:ascii="宋体" w:hAnsi="宋体" w:cs="宋体"/>
                <w:kern w:val="0"/>
                <w:sz w:val="20"/>
                <w:szCs w:val="20"/>
              </w:rPr>
              <w:t>×</w:t>
            </w:r>
            <w:r>
              <w:rPr>
                <w:rFonts w:ascii="宋体" w:hAnsi="宋体" w:cs="宋体"/>
                <w:kern w:val="0"/>
                <w:sz w:val="20"/>
                <w:szCs w:val="20"/>
              </w:rPr>
              <w:t>80%+38)</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41</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（一）本年费用化金额</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42</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（二）本年资本化金额</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43</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四、本年形成无形资产摊销额</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44</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五、以前年度形成无形资产本年摊销额</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45</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六、允许扣除的研发费用合计（</w:t>
            </w:r>
            <w:r>
              <w:rPr>
                <w:rFonts w:ascii="宋体" w:hAnsi="宋体" w:cs="宋体"/>
                <w:kern w:val="0"/>
                <w:sz w:val="20"/>
                <w:szCs w:val="20"/>
              </w:rPr>
              <w:t>41+43+44</w:t>
            </w:r>
            <w:r>
              <w:rPr>
                <w:rFonts w:hint="eastAsia" w:ascii="宋体" w:hAnsi="宋体" w:cs="宋体"/>
                <w:kern w:val="0"/>
                <w:sz w:val="20"/>
                <w:szCs w:val="20"/>
              </w:rPr>
              <w:t>）</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46</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减：特殊收入部分</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47</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七、允许扣除的研发费用抵减特殊收入后的金额</w:t>
            </w:r>
            <w:r>
              <w:rPr>
                <w:rFonts w:ascii="宋体" w:hAnsi="宋体" w:cs="宋体"/>
                <w:kern w:val="0"/>
                <w:sz w:val="20"/>
                <w:szCs w:val="20"/>
              </w:rPr>
              <w:t>(45-46)</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48</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减：当年销售研发活动直接形成产品（包括组成部分）对应的材料部分</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49</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减：以前年度销售研发活动直接形成产品（包括组成部分）对应材料部分结转金额</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50</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八、加计扣除比例（%）</w:t>
            </w:r>
          </w:p>
        </w:tc>
        <w:tc>
          <w:tcPr>
            <w:tcW w:w="1233" w:type="dxa"/>
            <w:tcBorders>
              <w:top w:val="single" w:color="auto" w:sz="6" w:space="0"/>
              <w:left w:val="single" w:color="auto" w:sz="6" w:space="0"/>
              <w:bottom w:val="single" w:color="auto" w:sz="6" w:space="0"/>
              <w:right w:val="single" w:color="auto" w:sz="12" w:space="0"/>
            </w:tcBorders>
            <w:shd w:val="clear" w:color="000000" w:fill="FFFFFF"/>
            <w:noWrap w:val="0"/>
            <w:vAlign w:val="center"/>
          </w:tcPr>
          <w:p>
            <w:pPr>
              <w:widowControl/>
              <w:jc w:val="right"/>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6"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51</w:t>
            </w:r>
          </w:p>
        </w:tc>
        <w:tc>
          <w:tcPr>
            <w:tcW w:w="7770" w:type="dxa"/>
            <w:tcBorders>
              <w:top w:val="single" w:color="auto" w:sz="6" w:space="0"/>
              <w:left w:val="single" w:color="auto" w:sz="6" w:space="0"/>
              <w:bottom w:val="single" w:color="auto" w:sz="6" w:space="0"/>
              <w:right w:val="single" w:color="auto" w:sz="6" w:space="0"/>
            </w:tcBorders>
            <w:shd w:val="clear" w:color="000000" w:fill="FFFFFF"/>
            <w:noWrap w:val="0"/>
            <w:vAlign w:val="center"/>
          </w:tcPr>
          <w:p>
            <w:pPr>
              <w:widowControl/>
              <w:jc w:val="left"/>
              <w:rPr>
                <w:rFonts w:ascii="宋体"/>
                <w:kern w:val="0"/>
                <w:sz w:val="20"/>
                <w:szCs w:val="20"/>
              </w:rPr>
            </w:pPr>
            <w:r>
              <w:rPr>
                <w:rFonts w:hint="eastAsia" w:ascii="宋体" w:hAnsi="宋体" w:cs="宋体"/>
                <w:kern w:val="0"/>
                <w:sz w:val="20"/>
                <w:szCs w:val="20"/>
              </w:rPr>
              <w:t>九、本年研发费用加计扣除总额（</w:t>
            </w:r>
            <w:r>
              <w:rPr>
                <w:rFonts w:ascii="宋体" w:hAnsi="宋体" w:cs="宋体"/>
                <w:kern w:val="0"/>
                <w:sz w:val="20"/>
                <w:szCs w:val="20"/>
              </w:rPr>
              <w:t>47-48-49</w:t>
            </w:r>
            <w:r>
              <w:rPr>
                <w:rFonts w:hint="eastAsia" w:ascii="宋体" w:hAnsi="宋体" w:cs="宋体"/>
                <w:kern w:val="0"/>
                <w:sz w:val="20"/>
                <w:szCs w:val="20"/>
              </w:rPr>
              <w:t>）×</w:t>
            </w:r>
            <w:r>
              <w:rPr>
                <w:rFonts w:ascii="宋体" w:hAnsi="宋体" w:cs="宋体"/>
                <w:kern w:val="0"/>
                <w:sz w:val="20"/>
                <w:szCs w:val="20"/>
              </w:rPr>
              <w:t>50</w:t>
            </w:r>
          </w:p>
        </w:tc>
        <w:tc>
          <w:tcPr>
            <w:tcW w:w="1233"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b/>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698" w:type="dxa"/>
            <w:tcBorders>
              <w:top w:val="single" w:color="auto" w:sz="6" w:space="0"/>
              <w:left w:val="single" w:color="auto" w:sz="12" w:space="0"/>
              <w:bottom w:val="single" w:color="auto" w:sz="12" w:space="0"/>
              <w:right w:val="single" w:color="auto" w:sz="6" w:space="0"/>
            </w:tcBorders>
            <w:shd w:val="clear" w:color="000000" w:fill="FFFFFF"/>
            <w:noWrap w:val="0"/>
            <w:vAlign w:val="center"/>
          </w:tcPr>
          <w:p>
            <w:pPr>
              <w:widowControl/>
              <w:jc w:val="center"/>
              <w:rPr>
                <w:rFonts w:ascii="宋体"/>
                <w:kern w:val="0"/>
                <w:sz w:val="20"/>
                <w:szCs w:val="20"/>
              </w:rPr>
            </w:pPr>
            <w:r>
              <w:rPr>
                <w:rFonts w:ascii="宋体" w:hAnsi="宋体" w:cs="宋体"/>
                <w:kern w:val="0"/>
                <w:sz w:val="20"/>
                <w:szCs w:val="20"/>
              </w:rPr>
              <w:t>52</w:t>
            </w:r>
          </w:p>
        </w:tc>
        <w:tc>
          <w:tcPr>
            <w:tcW w:w="7770" w:type="dxa"/>
            <w:tcBorders>
              <w:top w:val="single" w:color="auto" w:sz="6" w:space="0"/>
              <w:left w:val="single" w:color="auto" w:sz="6" w:space="0"/>
              <w:bottom w:val="single" w:color="auto" w:sz="12" w:space="0"/>
              <w:right w:val="single" w:color="auto" w:sz="6" w:space="0"/>
            </w:tcBorders>
            <w:shd w:val="clear" w:color="000000" w:fill="FFFFFF"/>
            <w:noWrap w:val="0"/>
            <w:vAlign w:val="center"/>
          </w:tcPr>
          <w:p>
            <w:pPr>
              <w:widowControl/>
              <w:ind w:left="384" w:hanging="384" w:hangingChars="192"/>
              <w:jc w:val="left"/>
              <w:rPr>
                <w:rFonts w:ascii="宋体"/>
                <w:kern w:val="0"/>
                <w:sz w:val="20"/>
                <w:szCs w:val="20"/>
              </w:rPr>
            </w:pPr>
            <w:r>
              <w:rPr>
                <w:rFonts w:hint="eastAsia" w:ascii="宋体" w:hAnsi="宋体" w:cs="宋体"/>
                <w:kern w:val="0"/>
                <w:sz w:val="20"/>
                <w:szCs w:val="20"/>
              </w:rPr>
              <w:t>十、销售研发活动直接形成产品（包括组成部分）对应材料部分结转以后年度扣减金额（当</w:t>
            </w:r>
            <w:r>
              <w:rPr>
                <w:rFonts w:ascii="宋体" w:hAnsi="宋体" w:cs="宋体"/>
                <w:kern w:val="0"/>
                <w:sz w:val="20"/>
                <w:szCs w:val="20"/>
              </w:rPr>
              <w:t>47-48-49</w:t>
            </w:r>
            <w:r>
              <w:rPr>
                <w:rFonts w:hint="eastAsia" w:ascii="宋体" w:hAnsi="宋体" w:cs="宋体"/>
                <w:kern w:val="0"/>
                <w:sz w:val="20"/>
                <w:szCs w:val="20"/>
              </w:rPr>
              <w:t>≥</w:t>
            </w:r>
            <w:r>
              <w:rPr>
                <w:rFonts w:ascii="宋体" w:cs="宋体"/>
                <w:kern w:val="0"/>
                <w:sz w:val="20"/>
                <w:szCs w:val="20"/>
              </w:rPr>
              <w:t>0</w:t>
            </w:r>
            <w:r>
              <w:rPr>
                <w:rFonts w:hint="eastAsia" w:ascii="宋体" w:hAnsi="宋体" w:cs="宋体"/>
                <w:kern w:val="0"/>
                <w:sz w:val="20"/>
                <w:szCs w:val="20"/>
              </w:rPr>
              <w:t>，本行</w:t>
            </w:r>
            <w:r>
              <w:rPr>
                <w:rFonts w:ascii="宋体" w:hAnsi="宋体" w:cs="宋体"/>
                <w:kern w:val="0"/>
                <w:sz w:val="20"/>
                <w:szCs w:val="20"/>
              </w:rPr>
              <w:t>＝0</w:t>
            </w:r>
            <w:r>
              <w:rPr>
                <w:rFonts w:hint="eastAsia" w:ascii="宋体" w:hAnsi="宋体" w:cs="宋体"/>
                <w:kern w:val="0"/>
                <w:sz w:val="20"/>
                <w:szCs w:val="20"/>
              </w:rPr>
              <w:t>；当</w:t>
            </w:r>
            <w:r>
              <w:rPr>
                <w:rFonts w:ascii="宋体" w:hAnsi="宋体" w:cs="宋体"/>
                <w:kern w:val="0"/>
                <w:sz w:val="20"/>
                <w:szCs w:val="20"/>
              </w:rPr>
              <w:t>47-48-49</w:t>
            </w:r>
            <w:r>
              <w:rPr>
                <w:rFonts w:hint="eastAsia" w:ascii="宋体" w:hAnsi="宋体" w:cs="宋体"/>
                <w:kern w:val="0"/>
                <w:sz w:val="20"/>
                <w:szCs w:val="20"/>
              </w:rPr>
              <w:t>＜</w:t>
            </w:r>
            <w:r>
              <w:rPr>
                <w:rFonts w:ascii="宋体" w:hAnsi="宋体" w:cs="宋体"/>
                <w:kern w:val="0"/>
                <w:sz w:val="20"/>
                <w:szCs w:val="20"/>
              </w:rPr>
              <w:t>0</w:t>
            </w:r>
            <w:r>
              <w:rPr>
                <w:rFonts w:hint="eastAsia" w:ascii="宋体" w:hAnsi="宋体" w:cs="宋体"/>
                <w:kern w:val="0"/>
                <w:sz w:val="20"/>
                <w:szCs w:val="20"/>
              </w:rPr>
              <w:t>，本行</w:t>
            </w:r>
            <w:r>
              <w:rPr>
                <w:rFonts w:ascii="宋体" w:hAnsi="宋体" w:cs="宋体"/>
                <w:kern w:val="0"/>
                <w:sz w:val="20"/>
                <w:szCs w:val="20"/>
              </w:rPr>
              <w:t>＝47-48-49</w:t>
            </w:r>
            <w:r>
              <w:rPr>
                <w:rFonts w:hint="eastAsia" w:ascii="宋体" w:hAnsi="宋体" w:cs="宋体"/>
                <w:kern w:val="0"/>
                <w:sz w:val="20"/>
                <w:szCs w:val="20"/>
              </w:rPr>
              <w:t>的绝对值</w:t>
            </w:r>
            <w:r>
              <w:rPr>
                <w:rFonts w:ascii="宋体" w:hAnsi="宋体" w:cs="宋体"/>
                <w:kern w:val="0"/>
                <w:sz w:val="20"/>
                <w:szCs w:val="20"/>
              </w:rPr>
              <w:t>)</w:t>
            </w:r>
          </w:p>
        </w:tc>
        <w:tc>
          <w:tcPr>
            <w:tcW w:w="1233" w:type="dxa"/>
            <w:tcBorders>
              <w:top w:val="single" w:color="auto" w:sz="6" w:space="0"/>
              <w:left w:val="single" w:color="auto" w:sz="6" w:space="0"/>
              <w:bottom w:val="single" w:color="auto" w:sz="12" w:space="0"/>
              <w:right w:val="single" w:color="auto" w:sz="12" w:space="0"/>
            </w:tcBorders>
            <w:shd w:val="clear" w:color="000000" w:fill="FFFFFF"/>
            <w:noWrap w:val="0"/>
            <w:vAlign w:val="center"/>
          </w:tcPr>
          <w:p>
            <w:pPr>
              <w:widowControl/>
              <w:jc w:val="right"/>
              <w:rPr>
                <w:rFonts w:ascii="宋体"/>
                <w:kern w:val="0"/>
                <w:sz w:val="20"/>
                <w:szCs w:val="20"/>
              </w:rPr>
            </w:pPr>
          </w:p>
        </w:tc>
      </w:tr>
    </w:tbl>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微软雅黑" w:hAnsi="微软雅黑" w:eastAsia="微软雅黑" w:cs="微软雅黑"/>
          <w:b/>
          <w:bCs/>
          <w:sz w:val="36"/>
          <w:szCs w:val="36"/>
          <w:lang w:eastAsia="zh-CN"/>
        </w:rPr>
      </w:pPr>
    </w:p>
    <w:p>
      <w:pPr>
        <w:pStyle w:val="4"/>
        <w:bidi w:val="0"/>
        <w:rPr>
          <w:rFonts w:hint="eastAsia"/>
          <w:lang w:eastAsia="zh-CN"/>
        </w:rPr>
      </w:pPr>
      <w:r>
        <w:rPr>
          <w:rFonts w:hint="eastAsia"/>
          <w:lang w:eastAsia="zh-CN"/>
        </w:rPr>
        <w:t>A107012</w:t>
      </w:r>
      <w:r>
        <w:rPr>
          <w:rFonts w:hint="eastAsia"/>
          <w:lang w:eastAsia="zh-CN"/>
        </w:rPr>
        <w:tab/>
      </w:r>
      <w:r>
        <w:rPr>
          <w:rFonts w:hint="eastAsia"/>
          <w:lang w:eastAsia="zh-CN"/>
        </w:rPr>
        <w:t>《研发费用加计扣除优惠明细表》填报说明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本表适用于享受研发费用加计扣除优惠（含结转）政策的纳税人填报。纳税人根据税法、《财政部 国家税务总局 科技部关于完善研究开发费用税前加计扣除政策的通知》（财税〔2015〕119号）、《国家税务总局关于企业研究开发费用税前加计扣除政策有关问题的公告》（国家税务总局公告2015年第97号）、《财政部 税务总局 科技部关于提高科技型中小企业研究开发费用税前加计扣除比例的通知》（财税〔2017〕34号）、《科技部 财政部 国家税务总局关于印发〈科技型中小企业评价办法〉的通知》（国科发政〔2017〕115号）、《国家税务总局关于提高科技型中小企业研究开发费用税前加计扣除比例有关问题的公告》（国家税务总局公告2017年第18号）、《国家税务总局关于研发费用税前加计扣除归集范围有关问题的公告》（国家税务总局公告2017年第40号）、《财政部 税务总局关于企业委托境外研究开发费用税前加计扣除有关政策问题的通知》（财税〔2018〕64号）、《财政部 税务总局 科技部关于提高研究开发费税前加计扣除比例的通知》（财税〔2018〕99号）等相关税收政策规定，填报本年发生的研发费用加计扣除优惠情况及结转情况。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1、第1行“本年可享受研发费用加计扣除项目数量”：填报纳税人本年研发项目中可享受研发费用加计扣除优惠政策的项目数量。</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2、第2行“一、自主研发、合作研发、集中研发”：填报第3+7+16+19+23+34行金额。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3、第3行“（一）人员人工费用”：填报第4+5+6行金额。直接从事研发活动的人员、外聘研发人员同时从事非研发活动的，填报按实际工时占比等合理方法分配的用于研发活动的相关费用。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1、直接从事研发活动人员工资薪金”：填报纳税人直接从事研发活动人员，包括研究人员、技术人员、辅助人员的工资、薪金、奖金、津贴、补贴以及按规定可以在税前扣除的对研发人员股权激励的支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2、直接从事研发活动人员五险一金”：填报纳税人直接从事研发活动人员，包括研究人员、技术人员、辅助人员的基本养老保险费、基本医疗保险费、失业保险费、工伤保险费、生育保险费和住房公积金。</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6、第6行“3、外聘研发人员的劳务费用”：填报与纳税人或劳务派遣企业签订劳务用工协议（合同）的外聘研发人员的劳务费用，以及临时聘用的研究人员、技术人员、辅助人员的劳务费用。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7、第7行“（二）直接投入费用”：填报第8+9+10+11+12+13+14+15行金额。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8、第8行“1、研发活动直接消耗材料费用”：填报纳税人研发活动直接消耗的材料费用。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9、第9行“2、研发活动直接消耗燃料费用”：填报纳税人研发活动直接消耗的燃料费用。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10、第10行“3、研发活动直接消耗动力费用”：填报纳税人研发活动直接消耗的动力费用。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11、第11行“4、用于中间试验和产品试制的模具、工艺装备开发及制造费”：填报纳税人研发活动中用于中间试验和产品试制的模具、工艺装备开发及制造的费用。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12、第12行“5、用于不构成固定资产的样品、样机及一般测试手段购置费”：填报纳税人研发活动中用于不构成固定资产的样品、样机及一般测试手段购置费用。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13、第13行“6、用于试制产品的检验费”：填报纳税人研发活动中用于试制产品的检验费。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14、第14行“7、用于研发活动的仪器、设备的运行维护、调整、检验、维修等费用”：填报纳税人用于研发活动的仪器、设备的运行维护、调整、检验、维修等费用。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15行“8、通过经营租赁方式租入的用于研发活动的仪器、设备租赁费”：填报纳税人经营租赁方式租入的用于研发活动的仪器、设备租赁费。以经营租赁方式租入的用于研发活动的仪器、设备，同时用于非研发活动的，填报按实际工时占比等合理方法分配的用于研发活动的相关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16、第16行“（三）折旧费用”：填报第17+18行金额。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用于研发活动的仪器、设备，同时用于非研发活动的，填报按实际工时占比等合理方法分配的用于研发活动的相关费用。纳税人用于研发活动的仪器、设备，符合税收规定且选择加速折旧优惠政策的，在享受研发费用税前加计扣除政策时，按照税前扣除的折旧口径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17、第17行“1、用于研发活动的仪器的折旧费”：填报纳税人用于研发活动的仪器的折旧费。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18、第18行“2、用于研发活动的设备的折旧费”：填报纳税人用于研发活动的设备的折旧费。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19、第19行“（四）无形资产摊销”：填报第20+21+22行金额。用于研发活动的无形资产，同时用于非研发活动的，填报按实际工时占比等合理方法在研发费用和生产经营费用间分配的用于研发活动的相关费用。纳税人用于研发活动的无形资产，符合税收规定且选择加速摊销优惠政策的，在享受研发费用税前加计扣除政策时，按照税前扣除的摊销口径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20、第20行“1、用于研发活动的软件的摊销费用”：填报纳税人用于研发活动的软件的摊销费用。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21、第21行“2、用于研发活动的专利权的摊销费用”：填报纳税人用于研发活动的专利权的摊销费用。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22、第22行“3、用于研发活动的非专利技术（包括许可证、专有技术、设计和计算方法等）的摊销费用”：填报纳税人用于研发活动的非专利技术（包括许可证、专有技术、设计和计算方法等）的摊销费用。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23、第23行“（五）新产品设计费等”：填报第24+25+26+27行金额。新产品设计费、新工艺规程制定费、新药研制的临床试验费、勘探开发技术的现场试验费等由辅助生产部门提供的，填报按照一定的分配标准分配给研发项目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24、第24行“1、新产品设计费”：填报纳税人研发活动中发生的新产品设计费。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25、第25行“2、新工艺规程制定费”：填报纳税人研发活动中发生的新工艺规程制定费。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26、第26行“3、新药研制的临床试验费”：填报纳税人研发活动中发生的新药研制的临床试验费。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27、第27行“4、勘探开发技术的现场试验费”：填报纳税人研发活动中发生的勘探开发技术的现场试验费。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28、第28行“(六)其他相关费用”：填报第29+30+31+32+33行金额。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29、第29行“1、技术图书资料费、资料翻译费、专家咨询费、高新科技研发保险费”：填报纳税人研发活动中发生的技术图书资料费、资料翻译费、专家咨询费、高新科技研发保险费。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30、第30行“2、研发成果的检索、分析、评议、论证、鉴定、评审、评估、验收费用”：填报纳税人研发活动中发生的研发成果的检索、分析、评议、论证、鉴定、评审、评估、验收费用。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31、第31行“3、知识产权的申请费、注册费、代理费”：填报纳税人研发活动中发生的知识产权的申请费、注册费、代理费。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32、第32行“4、职工福利费、补充养老保险费、补充医疗保险费”：填报纳税人研发活动人员发生的职工福利费、补充养老保险费、补充医疗保险费。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33、第33行“5、差旅费、会议费”：填报纳税人研发活动发生的差旅费、会议费。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34、第34行“(七)经限额调整后的其他相关费用”：根据研发活动分析汇总填报。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35、第35行“二、委托研发”：填报第36+37+39行金额。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36、第36行“（一）委托境内机构或个人进行研发活动所发生的费用”：填报纳税人研发项目委托境内机构或个人进行研发活动所发生的费用。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37、第37行“（二）委托境外机构进行研发活动发生的费用”：填报纳税人研发项目委托境外机构进行研发活动所发生的费用。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38、第38行“允许加计扣除的委托境外机构进行研发活动发生的费用”：填报纳税人按照税收规定允许加计扣除的委托境外机构进行研发活动发生的研发费用。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39、第39行“（三）委托境外个人进行研发活动发生的费用”：填报纳税人委托境外个人进行研发活动发生的费用。本行不参与加计扣除优惠金额的计算。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40、第40行“三、年度研发费用小计”：填报第2行+第36行×80%+第38行金额。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41、第41行“（一）本年费用化金额”：填报纳税人研发活动本年费用化部分金额。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42、第42行“（二）本年资本化金额”：填报纳税人研发活动本年结转无形资产的金额。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43、第43行“四、本年形成无形资产摊销额”：填报纳税人研发活动本年形成无形资产的摊销额。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44、第44行“五、以前年度形成无形资产本年摊销额”：填报纳税人研发活动以前年度形成无形资产本年摊销额。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45、第45行“六、允许扣除的研发费用合计”：填报第41+43+44行金额。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46、第46行“特殊收入部分”：填报纳税人已归集计入研发费用，但在当期取得的研发过程中形成的下脚料、残次品、中间试制品等特殊收入。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47、第47行“七、允许扣除的研发费用抵减特殊收入后的金额”：填报第45-46行金额。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48、第48行“当年销售研发活动直接形成产品（包括组成部分）对应的材料部分”：填报纳税人当年销售研发活动直接形成产品（包括组成部分）对应的材料部分金额。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49、第49行“以前年度销售研发活动直接形成产品（包括组成部分）对应材料部分结转金额”：填报纳税人以前年度销售研发活动直接形成产品（包括组成部分）对应材料部分结转金额。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50、第50行“八、加计扣除比例”：根据有关政策规定填报。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51、第51行“九、本年研发费用加计扣除总额”：填报第（47-48-49）行×第50行的金额，当第47-48-49行＜0时，本行填报0。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52、第52行“十、销售研发活动直接形成产品（包括组成部分）对应材料部分结转以后年度扣减金额”：当第47-48-49行≥0时，填报0；当第47-48-49行＜0时，填报第47-48-49行金额的绝对值。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1、第2行＝第3+7+16+19+23+34行。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2、第3行＝第4+5+6行。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3、第7行＝第8+9+10+11+12+13+14+15行。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4、第16行＝第17+18行。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5、第19行＝第20+21+22行。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6、第23行＝第24+25+26+27行。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7、第28行＝第29+30+31+32+33行。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8、第35行＝第36+37+39行。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9、第40行＝第2行+第36行×80%+第38行。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10、第45行＝第41+43+44行。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11、第47行＝第45-46行。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12、第51行＝（第47-48-49行）×第50行，当第47-48-49行＜0时，本行＝0。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13、当第47-48-49行≥0时，第52行＝0；当第47-48-49行＜0时，第52行＝第46-47-48行金额的绝对值。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1、当表A000000“210-3”项目未填有入库编号时，第51行＝表A107010第26行。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2、当表A000000“210-3”项目填有入库编号时，第51行＝表A107010第27行。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A107020</w:t>
      </w:r>
      <w:r>
        <w:rPr>
          <w:rFonts w:hint="eastAsia"/>
          <w:lang w:eastAsia="zh-CN"/>
        </w:rPr>
        <w:tab/>
      </w:r>
      <w:r>
        <w:rPr>
          <w:rFonts w:hint="eastAsia"/>
          <w:lang w:eastAsia="zh-CN"/>
        </w:rPr>
        <w:t>所得减免优惠明细表</w:t>
      </w:r>
    </w:p>
    <w:tbl>
      <w:tblPr>
        <w:tblStyle w:val="8"/>
        <w:tblW w:w="4997" w:type="pct"/>
        <w:tblInd w:w="0" w:type="dxa"/>
        <w:shd w:val="clear" w:color="auto" w:fill="auto"/>
        <w:tblLayout w:type="autofit"/>
        <w:tblCellMar>
          <w:top w:w="0" w:type="dxa"/>
          <w:left w:w="0" w:type="dxa"/>
          <w:bottom w:w="0" w:type="dxa"/>
          <w:right w:w="0" w:type="dxa"/>
        </w:tblCellMar>
      </w:tblPr>
      <w:tblGrid>
        <w:gridCol w:w="667"/>
        <w:gridCol w:w="1282"/>
        <w:gridCol w:w="780"/>
        <w:gridCol w:w="780"/>
        <w:gridCol w:w="780"/>
        <w:gridCol w:w="741"/>
        <w:gridCol w:w="781"/>
        <w:gridCol w:w="781"/>
        <w:gridCol w:w="741"/>
        <w:gridCol w:w="750"/>
        <w:gridCol w:w="741"/>
        <w:gridCol w:w="1099"/>
        <w:gridCol w:w="1330"/>
      </w:tblGrid>
      <w:tr>
        <w:tblPrEx>
          <w:tblCellMar>
            <w:top w:w="0" w:type="dxa"/>
            <w:left w:w="0" w:type="dxa"/>
            <w:bottom w:w="0" w:type="dxa"/>
            <w:right w:w="0" w:type="dxa"/>
          </w:tblCellMar>
        </w:tblPrEx>
        <w:trPr>
          <w:trHeight w:val="480" w:hRule="atLeast"/>
        </w:trPr>
        <w:tc>
          <w:tcPr>
            <w:tcW w:w="311" w:type="pct"/>
            <w:vMerge w:val="restart"/>
            <w:tcBorders>
              <w:top w:val="single" w:color="000000" w:sz="12" w:space="0"/>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584"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减免项目</w:t>
            </w:r>
          </w:p>
        </w:tc>
        <w:tc>
          <w:tcPr>
            <w:tcW w:w="361"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361"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优惠事项名称</w:t>
            </w:r>
          </w:p>
        </w:tc>
        <w:tc>
          <w:tcPr>
            <w:tcW w:w="361"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优惠方式</w:t>
            </w:r>
          </w:p>
        </w:tc>
        <w:tc>
          <w:tcPr>
            <w:tcW w:w="343"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项目收入</w:t>
            </w:r>
          </w:p>
        </w:tc>
        <w:tc>
          <w:tcPr>
            <w:tcW w:w="361"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项目成本</w:t>
            </w:r>
          </w:p>
        </w:tc>
        <w:tc>
          <w:tcPr>
            <w:tcW w:w="361"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相关税费</w:t>
            </w:r>
          </w:p>
        </w:tc>
        <w:tc>
          <w:tcPr>
            <w:tcW w:w="343"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应分摊期间费用</w:t>
            </w:r>
          </w:p>
        </w:tc>
        <w:tc>
          <w:tcPr>
            <w:tcW w:w="347" w:type="pct"/>
            <w:vMerge w:val="restart"/>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纳税调整额</w:t>
            </w:r>
          </w:p>
        </w:tc>
        <w:tc>
          <w:tcPr>
            <w:tcW w:w="845" w:type="pct"/>
            <w:gridSpan w:val="2"/>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项目所得额</w:t>
            </w:r>
          </w:p>
        </w:tc>
        <w:tc>
          <w:tcPr>
            <w:tcW w:w="418" w:type="pct"/>
            <w:vMerge w:val="restart"/>
            <w:tcBorders>
              <w:top w:val="single" w:color="000000" w:sz="12" w:space="0"/>
              <w:left w:val="single" w:color="000000" w:sz="8" w:space="0"/>
              <w:bottom w:val="single" w:color="000000" w:sz="8" w:space="0"/>
              <w:right w:val="single" w:color="000000" w:sz="12"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减免所得额</w:t>
            </w:r>
          </w:p>
        </w:tc>
      </w:tr>
      <w:tr>
        <w:tblPrEx>
          <w:shd w:val="clear" w:color="auto" w:fill="auto"/>
          <w:tblCellMar>
            <w:top w:w="0" w:type="dxa"/>
            <w:left w:w="0" w:type="dxa"/>
            <w:bottom w:w="0" w:type="dxa"/>
            <w:right w:w="0" w:type="dxa"/>
          </w:tblCellMar>
        </w:tblPrEx>
        <w:trPr>
          <w:trHeight w:val="480" w:hRule="atLeast"/>
        </w:trPr>
        <w:tc>
          <w:tcPr>
            <w:tcW w:w="311" w:type="pct"/>
            <w:vMerge w:val="continue"/>
            <w:tcBorders>
              <w:top w:val="single" w:color="000000" w:sz="12" w:space="0"/>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84"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免税项目</w:t>
            </w: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减半项目</w:t>
            </w:r>
          </w:p>
        </w:tc>
        <w:tc>
          <w:tcPr>
            <w:tcW w:w="418" w:type="pct"/>
            <w:vMerge w:val="continue"/>
            <w:tcBorders>
              <w:top w:val="single" w:color="000000" w:sz="12" w:space="0"/>
              <w:left w:val="single" w:color="000000" w:sz="8" w:space="0"/>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vMerge w:val="continue"/>
            <w:tcBorders>
              <w:top w:val="single" w:color="000000" w:sz="12" w:space="0"/>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84" w:type="pct"/>
            <w:vMerge w:val="continue"/>
            <w:tcBorders>
              <w:top w:val="single" w:color="000000" w:sz="12"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11(9+10×50%)</w:t>
            </w: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一、农、林、牧、渔业项目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二、国家重点扶持的公共基础设施项目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三、符合条件的环境保护、节能节水项目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四、符合条件的技术转让项目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五、清洁发展机制项目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六、符合条件的节能服务公司实施的合同能源管理项目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七、线宽小于130纳米（含）的集成电路生产项目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八、线宽小于65纳米（含）或投资额超过150亿元的集成电路生产项目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九、线宽小于28纳米（含）的集成电路生产项目</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58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十、其他</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58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8"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480" w:hRule="atLeast"/>
        </w:trPr>
        <w:tc>
          <w:tcPr>
            <w:tcW w:w="311" w:type="pct"/>
            <w:tcBorders>
              <w:top w:val="nil"/>
              <w:left w:val="single" w:color="000000" w:sz="12" w:space="0"/>
              <w:bottom w:val="single" w:color="000000" w:sz="12"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584"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361"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61"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43"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61"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7"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343"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502" w:type="pct"/>
            <w:tcBorders>
              <w:top w:val="nil"/>
              <w:left w:val="nil"/>
              <w:bottom w:val="single" w:color="000000" w:sz="12"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18" w:type="pct"/>
            <w:tcBorders>
              <w:top w:val="nil"/>
              <w:left w:val="nil"/>
              <w:bottom w:val="single" w:color="000000" w:sz="12" w:space="0"/>
              <w:right w:val="single" w:color="000000" w:sz="12"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bl>
    <w:p>
      <w:pPr>
        <w:rPr>
          <w:rFonts w:hint="eastAsia"/>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4"/>
        <w:bidi w:val="0"/>
        <w:rPr>
          <w:rFonts w:hint="eastAsia"/>
          <w:lang w:eastAsia="zh-CN"/>
        </w:rPr>
      </w:pPr>
      <w:r>
        <w:rPr>
          <w:rFonts w:hint="eastAsia"/>
          <w:lang w:eastAsia="zh-CN"/>
        </w:rPr>
        <w:t>A107020 《所得减免优惠明细表》填报说明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本表适用于享受所得减免优惠政策的纳税人填报。纳税人根据税法及相关税收政策规定，填报本年发生的所得减免优惠情况，《中华人民共和国企业所得税年度纳税申报表（A 类）》（A100000）第 19 行“纳税调整后所得”为负数的，无需填报本表。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列“项目名称”：填报纳税人享受减免所得优惠的项目在会计核算上的名称。项目名称以纳税人内部规范称谓为准。</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列“优惠事项名称”：按照该项目享受所得减免企业所得税优惠事项的具体政策内容选择填报。具体说明如下：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（1）“一、农、林、牧、渔业项目”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在以下优惠事项中选择填报：1、蔬菜、谷物、薯类、油料、豆类、棉花、麻类、糖料、水果、坚果的种植；2、农作物新品种的选育；3、中药材的种植；4、林木的培育和种植；5、牲畜、家禽的饲养；6、林产品的采集；7、灌溉、兽医、农技推广、农机作业和维修等农、林、牧、渔服务业项目；8、农产品初加工；9、远洋捕捞；10、花卉、茶以及其他饮料作物和香料作物的种植；11、海水养殖、内陆养殖；12、其他。</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（2）“二、国家重点扶持的公共基础设施项目”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在以下优惠事项中选择填报：1、港口码头项目；2、机场项目；3、铁路项目；4、公路项目；5、城市公共交通项目；6、电力项目；7、水利项目（不含农村饮水安全工程）； 8、农村饮水安全工程；9、其他项目。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（3）“三、符合条件的环境保护、节能节水项目”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在以下优惠事项中选择填报：1、公共污水处理项目；2、公共垃圾处理项目；3、沼气综合开发利用项目；4、节能减排技术改造项目；5、海水淡化项目；6、其他项目。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（4）“四、符合条件的技术转让项目”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纳税人填报“小计”行时，在以下优惠事项中选择填报：1、一般技术转让项目；2、 中关村国家自主创新示范区特定区域技术转让项目。其他行次无需填报本列。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（5）“五、清洁发展机制项目”：本列无需填报。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（6）“六、符合条件的节能服务公司实施合同能源管理项目”：本列无需填报。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（7）“七、线宽小于 130 纳米（含）的集成电路生产项目”：本列无需填报。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（8）“八、线宽小于 65 纳米（含）或投资额超过 150 亿元的集成电路生产项目”：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在以下优惠事项中选择填报：1、线宽小于 65 纳米（含）的项目；2、投资额超过 150 亿元的项目。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（9）“九、线宽小于 28 纳米（含）的集成电路生产项目”：本列无需填报。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（10）“十、其他”：填报上述所得减免优惠项目以外的其他所得减免优惠政策具体名称。</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列“优惠方式”：填报该项目享受所得减免企业所得税优惠的具体方式。该项目享受免征企业所得税优惠的，填报“免税”；项目享受减半征税企业所得税优惠的，填报“减半征收”。</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列“项目收入”：填报享受所得减免企业所得税优惠项目取得的收入总额。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列“项目成本”：填报享受所得减免企业所得税优惠项目发生的成本总额。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列“相关税费”：填报享受所得减免企业所得税优惠项目实际发生的有关税费总额，包括除企业所得税和允许抵扣的增值税以外的各项税金及其附加、合同签订费用、律师费等相关费用及其他支出。</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列“应分摊期间费用”：填报享受所得减免企业所得税优惠项目合理分摊的期间费用总额。合理分摊比例可以按照投资额、销售收入、资产额、人员工资等参数确定，一经确定，不得随意变更。</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列“纳税调整额”：填报纳税人按照税收规定需要调整减免税项目收入、成本、费用的金额，纳税调减以“-”号填列。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列“项目所得额\免税项目”：填报享受所得减免企业所得税优惠的纳税人计算确认的本期免税项目所得额。本列根据第 3 列分析填报，第 3 列填报“免税”的， 填报第 4-5-6-7+8 列金额，当第 4-5-6-7+8 列＜0 时，填报 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9 列“四、符合条件的技术转让项目”的“小计”行：当第 4-5-6-7+8 列≤限额时，填报第 4-5-6-7+8 列金额（超过限额部分的金额填入第 10 列）；当第 4-5-6-7+8 列＜0 时，填报 0。如果本行第 2 列选择“一般技术转让项目”，限额为 500 万元；如果选择“中关村国家自主创新示范区特定区域技术转让项目”时，限额为 2000 万元。</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10 列“项目所得额\减半项目”：填报享受所得减免企业所得税优惠的纳税人本期经计算确认的减半征收项目所得额。本列根据第 3 列分析填报，第 3 列填报“减半征税”的，填报第 4-5-6-7+8 列金额，当第 4-5-6-7+8 列＜0 时，填报 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10 列“四、符合条件的技术转让项目”的“小计”行：填报第 4-5-6-7+8 列金额超过限额的部分。如果本行第 2 列选择“一般技术转让项目”，限额为 500 万元；如果选择“中关村国家自主创新示范区特定区域技术转让项目”时，限额为 2000 万元。</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11 列“减免所得额”：填报享受所得减免企业所得税优惠的企业，该项目按照税收规定实际可以享受免征、减征的所得额，按第 9 列+第 10 列×50%金额填报。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行至第 3 行“一、农、林、牧、渔业项目”：按农、林、牧、渔业项目的优惠政策具体内容分别填报，一个项目填报一行，纳税人有多个项目的，可自行增加行次填报。各行相应列次填报金额的合计金额填入“小计”行。根据《财政部 国家税务总局关于发布享受企业所得税优惠政策的农产品初加工范围（试行）的通知》（财税〔2008〕149 号）、《国家税务总局关于黑龙江垦区国有农场土地承包费缴纳企业所得税问题的批复》（国税函〔2009〕779 号）、《国家税务总局关于“公司＋农户”经营模式企业所得税优惠问题的公告》（2010 年第 2 号）、《财政部 国家税务总局关于享受企业所得税优惠的农产品初加工有关范围的补充通知》（财税〔2011〕26 号）、《国家税务总局关于实施农 林 牧 渔业项目企业所得税优惠问题的公告》（2011 年第48 号）等相关税收政策规定，填报本纳税年度发生的减征、免征企业所得税项目的有关情况。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4 行至第 6 行“二、国家重点扶持的公共基础设施项目”：按国家重点扶持的公共基础设施项目具体内容分别填报，一个项目填报一行，纳税人有多个项目的， 可自行增加行次填报。各行相应列次填报金额的合计金额填入“小计”行。根据《财政部 国家税务总局关于执行公共基础设施项目企业所得税优惠目录有关问题的通知》（财税〔2008〕46 号）、《财政部 国家税务总局 国家发展改革委关于公布公共基础设施项目企业所得税优惠目录(2008 年版)的通知》（财税〔2008〕116 号）、《国家税务总局关于实施国家重点扶持的公共基础设施项目企业所得税优惠问题的通知》（国税发〔2009〕80 号）、《财政部 国家税务总局关于公共基础设施项目和环境保护节能节水项目企业所得税优惠政策问题的通知》（财税〔2012〕10 号）、《国家税务总局关于电网企业电网新建项目享受所得税优惠政策问题的公告》（2013 年第 26 号）、《财政部 国家税务总局关于公共基础设施项目享受企业所得税优惠政策问题的补充通知》（财税〔2014〕55 号）、《财政部 税务总局关于继续实行农村饮水安全工程税收优惠政策的公告》（2019 年第 67 号）等相关税收政策规定，从事《公共基础设施项目企业所得税优惠目录》规定的港口码头、机场、铁路、公路、城市公共交通、电力、水利等项目的投资经营的所得，自项目取得第一笔生产经营收入所属纳税年度起，第一年至第三年免征企业所得税，第四年至第六年减半征收企业所得税，不包括企业承包经营、承包建设和内部自建自用该项目的所得。本行填报本纳税年度发生的减征、免征企业所得税项目的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7 行至第 9 行“三、符合条件的环境保护、节能节水项目”：按符合条件的环境保护、节能节水项目的具体内容分别填报，一个项目填报一行。纳税人有多个项目的，可自行增加行次填报。各行相应列次填报金额的合计金额填入“小计”行。根据《财政部 国家税务总局 国家发展改革委关于公布环境保护节能节水项目企业所得税优惠目录（试行）的通知》（财税〔2009〕166 号）、《财政部 国家税务总局关于公共基础设施项目和环境保护节能节水项目企业所得税优惠政策问题的通知》（财税〔2012〕10 号）等相关税收政策规定，从事符合条件的公共污水处理、公共垃圾处理、沼气综合开发利用、节能减排技术改造、海水淡化等环境保护、节能节水项目的所得， 自项目取得第一笔生产经营收入所属纳税年度起，第一年至第三年免征企业所得税， 第四年至第六年减半征收企业所得税。本行填报本纳税年度发生的减征、免征企业所得税项目的有关情况。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10 行至第 12 行“四、符合条件的技术转让项目”：按照不同技术转让项目分别填报，一个项目填报一行，纳税人有多个项目的，可自行增加行次填报。各行相应列次填报金额的合计金额填入“小计”行。根据《国家税务总局关于技术转让所得减免企业所得税有关问题的通知》（国税函〔2009〕212 号）、《财政部 国家税务总局关于居民企业技术转让有关企业所得税政策问题的通知》（财税〔2010〕111 号）、《国家税务总局关于技术转让所得减免企业所得税有关问题的公告》（2013 年第 62 号）、《国家税务总局关于许可使用权技术转让所得企业所得税有关问题的公告》（2015 年第 82 号）、《财政部 税务总局 科技部 知识产权局关于中关村国家自主创新示范区特定区域技术转让企业所得税试点政策的通知》（财税〔2020〕61 号）等相关税收政策规定，一个纳税年度内，居民企业将其拥有的专利技术、计算机软件著作权、集成电路布图设计权、植物新品种权、生物医药新品种，以及财政部和国家税务总局确定的其他技术的所有权或符合规定年限的全球独占许可使用权、符合规定年限的非独占许可使用权转让取得的所得，不超过 500（或 2000）万元的部分，免征企业所得税； 超过 500（或 2000）万元的部分，减半征收企业所得税。本行填报本纳税年度发生的减征、免征企业所得税项目的有关情况。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13 行至第 15 行“五、清洁发展机制项目”：按照实施的清洁发展机制的不同项目分别填报，一个项目填报一行，纳税人有多个项目的，可自行增加行次填报。各行相应列次填报金额的合计金额填入“小计”行。根据《财政部 国家税务总局关于中国清洁发展机制基金及清洁发展机制项目实施企业有关企业所得税政策问题的通知》（财税〔2009〕30 号）等相关税收政策规定，企业实施的将温室气体减排量转让收入的 65%上缴给国家的 HFC 和 PFC 类 CDM 项目，以及将温室气体减排量转让收入的30%上缴给国家的 N2O 类 CDM 项目，其实施该类 CDM 项目的所得，自项目取得第一笔减排量转让收入所属纳税年度起，第一年至第三年免征企业所得税，第四年至第六年减半征收企业所得税。本行填报本纳税年度发生的减征、免征企业所得税项目的有关情况。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16 行至第 18 行“六、符合条件的节能服务公司实施合同能源管理项目”： 按照节能服务公司实施合同能源管理的不同项目分别填报，一个项目填报一行，纳税人有多个项目的，可自行增加行次填报。各行相应列次填报金额的合计金额填入“小计”行。根据《财政部 国家税务总局关于促进节能服务产业发展增值税 营业税和企业所得税政策问题的通知》（财税〔2010〕110 号）、《国家税务总局 国家发展改革委关于落实节能服务企业合同能源管理项目企业所得税优惠政策有关征收管理问题的公告》（2013 年第 77 号）等相关税收政策规定，符合条件的节能服务公司实施合同能源管理项目，符合税法有关规定的，自项目取得第一笔生产经营收入所属纳税年度起， 第一年至第三年免征企业所得税，第四年至第六年按照 25%的法定税率减半征收企业所得税。本行填报本纳税年度发生的减征、免征企业所得税项目的有关情况。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19 行至第 21 行“七、线宽小于 130 纳米（含）的集成电路生产项目”：按照投资的线宽小于 130 纳米（含）的集成电路生产项目的不同项目分别填报，一个项目填报一行，纳税人有多个项目的，可自行增加行次填报。各行相应列次填报金额的合计金额填入“小计”行。根据《财政部 税务总局 国家发展改革委 工业和信息化部关于集成电路生产企业有关企业所得税政策问题的通知》（财税〔2018〕27 号）规定， 线宽小于 130 纳米（含），且经营期在 10 年以上的集成电路生产项目，自项目取得第一笔生产经营收入所属纳税年度起，第一年至第二年免征企业所得税，第三年至第五年按照 25%的法定税率减半征收企业所得税，符合上述政策条件且在 2019 年（含）之前已经进入优惠期的企业，2020 年（含）起可按政策规定享受至期满为止。根据《财政部 税务总局 发展改革委 工业和信息化部关于促进集成电路和软件产业高质量发展企业所得税政策的公告》（2020 年第 45 号）规定，国家鼓励的线宽小于 130 纳米（含），且经营期在 10 年以上的集成电路生产项目，自项目取得第一笔生产经营收入所属纳税年度起，第一年至第二年免征企业所得税，第三年至第五年按照 25%的法定税率减半征收企业所得税。本行填报本纳税年度发生的减征、免征企业所得税项目的有关情况。 填报该项目的纳税人还应填报《软件、集成电路企业优惠情况及明细表》（A107042）， 若纳税人不享受集成电路生产企业减免所得税优惠事项，只需填报表 A107042“基本信息”和“关键指标情况”，无需填报“减免税额”。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22 行至第 24 行“八、线宽小于 65 纳米（含）或投资额超过 150 亿元的集成电路生产项目”：按照投资的线宽小于 65 纳米（含）或投资额超过 150 亿元的集成电路生产项目的不同项目分别填报，一个项目填报一行，纳税人有多个项目的，可自行增加行次填报。各行相应列次填报金额的合计金额填入“小计”行。根据财税〔2018〕27 号规定，线宽小于 65 纳米（含）或投资额超过 150 亿元，且经营期在 15 年以上的集成电路生产项目，自项目取得第一笔生产经营收入所属纳税年度起，第一年至第五年免征企业所得税，第六年至第十年按照 25%的法定税率减半征收企业所得税。符合上述政策条件且在 2019 年（含）之前已经进入优惠期的企业，2020 年（含）起可按政策规定享受至期满为止。根据《财政部 税务总局 发展改革委 工业和信息化部关于促进集成电路和软件产业高质量发展企业所得税政策的公告》（2020 年第 45 号）规定，国家鼓励的线宽小于 65 纳米（含），且经营期在 15 年以上的集成电路生产项目，自项目取得第一笔生产经营收入所属纳税年度起，第一年至第五年免征企业所得税，第六年至第十年按照 25%的法定税率减半征收企业所得税。本行填报本纳税年度发生的减征、免征企业所得税项目的有关情况。填报该项目的纳税人还应填报《软件、集成电路企业优惠情况及明细表》（A107042），若纳税人不享受集成电路生产企业减免所得税优惠事项，只需填报表 A107042“基本信息”和“关键指标情况”，无需填报“减免税额”。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25 行至 27 行“九、线宽小于 28 纳米（含）的集成电路生产项目减免企业所得税（填写 A107042）”：按照投资的线宽小于 28 纳米（含）的集成电路生产项目的不同项目分别填报，一个项目填报一行，纳税人有多个项目的，可自行增加行次填报。各行相应列次填报金额的合计金额填入“小计”行。根据《财政部 税务总局 发展改革委 工业和信息化部关于促进集成电路和软件产业高质量发展企业所得税政策的公告》（2020 年第 45 号）规定，国家鼓励的集成电路线宽小于 28 纳米（含），且经营期在 15 年以上的集成电路生产项目，第一年至第十年免征企业所得税。本行填报本纳税年度发生的免征企业所得税项目的有关情况。填报该项目的纳税人还应填报《软件、集成电路企业优惠情况及明细表》（A107042），若纳税人不享受集成电路生产企业减免所得税优惠事项，只需填报表 A107042“基本信息”和“关键指标情况”，无需填报“减免税额”。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28 行至第 30 行“十、其他”：填报纳税人享受的其他专项减免项目名称、优惠事项名称及减免税代码、项目收入等。按照享受所得减免企业所得税优惠的其他项目内容分别填报，一个项目填报一行，纳税人有多个项目的，可自行增加行次填报。各行相应列次填报金额的合计金额填入“小计”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31 行“合计”：填报第一项至第十项“小计”行的合计金额。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（一）表内关系（以表样列示行次为例）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3 行＝第 1+2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6 行＝第 4+5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9 行＝第 7+8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12 行＝第 10+11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15 行＝第 13+14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18 行＝第 16+17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21 行＝第 19+20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24 行＝第 22+23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27 行＝第 25+26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30 行＝第 28+29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31 行＝第 3+6+9+12+15+18+21+24+27+30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12、当第 3 列选择“免税”时，第 9 列＝第 4-5-6-7+8 列；当第 4-5-6-7+8 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时，第 9 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12 行第 2 列选择“一般技术专项项目”：当第 12 行第 4-5-6-7+8 列≤5000000时，第 12 行第 9 列＝第 4-5-6-7+8 列；当第 12 行第 4-5-6-7+8 列＞5000000 时，第12 行第 9 列＝5000000。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12 行第 2 列选择“中关村国家自主创新示范区特定区域技术转让项目”：当第12 行第 4-5-6-7+8 列≤20000000 时，第 12 行第 9 列＝第 4-5-6-7+8 列；当第 12 行第4-5-6-7+8 列＞20000000 时，第 12 行第 9 列＝20000000。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13、当第 3 列选择“减半征税”时，第 10 列＝第 4-5-6-7+8 列；当第 4-5-6-7+8 列＜0 时，第 10 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12 行第 2 列选择“一般技术专项项目”：当第 12 行第 4-5-6-7+8 列≤5000000时，第 12 行第 10 列＝0；当第 12 行第 4-5-6-7+8 列＞5000000 时，第 12 行第 10 列＝第 4-5-6-7+8 列-5000000。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12 行第 2 列选择“中关村国家自主创新示范区特定区域技术转让项目”：当第12 行第 4-5-6-7+8 列≤20000000 时，第 12 行第 10 列＝0；当第 12 行第 4-5-6-7+8 列＞20000000 时，第 12 行第 10 列＝第 4-5-6-7+8 列-20000000。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 11 列＝第 9 列+第 10 列×50%；当第 9 列+第 10 列×50%＜0 时，第 11 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1、当本表合计行第 11 列≥0，且本表合计行第 11 列≤表 A100000 第 19 行时， 合计行第 11 列＝表 A100000 第 20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2、当本表合计行第 11 列≥0，且本表合计行第 11 列＞表 A100000 第 19 行时，表A100000 第 20 行＝表 A100000 第 19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A107030</w:t>
      </w:r>
      <w:r>
        <w:rPr>
          <w:rFonts w:hint="eastAsia"/>
          <w:lang w:eastAsia="zh-CN"/>
        </w:rPr>
        <w:tab/>
      </w:r>
      <w:r>
        <w:rPr>
          <w:rFonts w:hint="eastAsia"/>
          <w:lang w:eastAsia="zh-CN"/>
        </w:rPr>
        <w:t>抵扣应纳税所得额明细表</w:t>
      </w:r>
    </w:p>
    <w:tbl>
      <w:tblPr>
        <w:tblStyle w:val="8"/>
        <w:tblW w:w="110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9"/>
        <w:gridCol w:w="5168"/>
        <w:gridCol w:w="1773"/>
        <w:gridCol w:w="1911"/>
        <w:gridCol w:w="16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489"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5168" w:type="dxa"/>
            <w:vMerge w:val="restart"/>
            <w:noWrap w:val="0"/>
            <w:vAlign w:val="center"/>
          </w:tcPr>
          <w:p>
            <w:pPr>
              <w:widowControl/>
              <w:jc w:val="center"/>
              <w:rPr>
                <w:rFonts w:ascii="宋体" w:hAnsi="宋体" w:cs="宋体"/>
                <w:kern w:val="0"/>
                <w:sz w:val="20"/>
                <w:szCs w:val="20"/>
              </w:rPr>
            </w:pPr>
            <w:r>
              <w:rPr>
                <w:rFonts w:hint="eastAsia" w:ascii="宋体" w:hAnsi="宋体" w:cs="宋体"/>
                <w:spacing w:val="500"/>
                <w:kern w:val="0"/>
                <w:sz w:val="20"/>
                <w:szCs w:val="20"/>
                <w:fitText w:val="1400" w:id="9"/>
              </w:rPr>
              <w:t>项</w:t>
            </w:r>
            <w:r>
              <w:rPr>
                <w:rFonts w:hint="eastAsia" w:ascii="宋体" w:hAnsi="宋体" w:cs="宋体"/>
                <w:spacing w:val="0"/>
                <w:kern w:val="0"/>
                <w:sz w:val="20"/>
                <w:szCs w:val="20"/>
                <w:fitText w:val="1400" w:id="9"/>
              </w:rPr>
              <w:t>目</w:t>
            </w:r>
          </w:p>
        </w:tc>
        <w:tc>
          <w:tcPr>
            <w:tcW w:w="177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合计金额</w:t>
            </w:r>
          </w:p>
        </w:tc>
        <w:tc>
          <w:tcPr>
            <w:tcW w:w="19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投资于未上市中小高新技术企业</w:t>
            </w:r>
          </w:p>
        </w:tc>
        <w:tc>
          <w:tcPr>
            <w:tcW w:w="169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投资于种子期、初创期科技型企业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89" w:type="dxa"/>
            <w:vMerge w:val="continue"/>
            <w:noWrap w:val="0"/>
            <w:vAlign w:val="center"/>
          </w:tcPr>
          <w:p>
            <w:pPr>
              <w:widowControl/>
              <w:jc w:val="left"/>
              <w:rPr>
                <w:rFonts w:ascii="宋体" w:hAnsi="宋体" w:cs="宋体"/>
                <w:kern w:val="0"/>
                <w:sz w:val="20"/>
                <w:szCs w:val="20"/>
              </w:rPr>
            </w:pPr>
          </w:p>
        </w:tc>
        <w:tc>
          <w:tcPr>
            <w:tcW w:w="5168" w:type="dxa"/>
            <w:vMerge w:val="continue"/>
            <w:noWrap w:val="0"/>
            <w:vAlign w:val="center"/>
          </w:tcPr>
          <w:p>
            <w:pPr>
              <w:widowControl/>
              <w:jc w:val="left"/>
              <w:rPr>
                <w:rFonts w:ascii="宋体" w:hAnsi="宋体" w:cs="宋体"/>
                <w:kern w:val="0"/>
                <w:sz w:val="20"/>
                <w:szCs w:val="20"/>
              </w:rPr>
            </w:pPr>
          </w:p>
        </w:tc>
        <w:tc>
          <w:tcPr>
            <w:tcW w:w="177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1=2+3</w:t>
            </w:r>
          </w:p>
        </w:tc>
        <w:tc>
          <w:tcPr>
            <w:tcW w:w="19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69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1038" w:type="dxa"/>
            <w:gridSpan w:val="5"/>
            <w:noWrap w:val="0"/>
            <w:vAlign w:val="center"/>
          </w:tcPr>
          <w:p>
            <w:pPr>
              <w:widowControl/>
              <w:jc w:val="left"/>
              <w:rPr>
                <w:rFonts w:ascii="宋体" w:hAnsi="宋体" w:cs="宋体"/>
                <w:b/>
                <w:bCs/>
                <w:kern w:val="0"/>
                <w:sz w:val="20"/>
                <w:szCs w:val="20"/>
              </w:rPr>
            </w:pPr>
            <w:r>
              <w:rPr>
                <w:rFonts w:hint="eastAsia" w:ascii="宋体" w:hAnsi="宋体" w:cs="宋体"/>
                <w:b/>
                <w:bCs/>
                <w:kern w:val="0"/>
                <w:sz w:val="20"/>
                <w:szCs w:val="20"/>
              </w:rPr>
              <w:t>一、创业投资企业直接投资按投资额一定比例抵扣应纳税所得额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本年新增的符合条件的股权投资额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税收规定的抵扣率</w:t>
            </w:r>
          </w:p>
        </w:tc>
        <w:tc>
          <w:tcPr>
            <w:tcW w:w="1773"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70%</w:t>
            </w:r>
          </w:p>
        </w:tc>
        <w:tc>
          <w:tcPr>
            <w:tcW w:w="191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70%</w:t>
            </w:r>
          </w:p>
        </w:tc>
        <w:tc>
          <w:tcPr>
            <w:tcW w:w="1697"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本年新增的可抵扣的股权投资额（1×2）</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以前年度结转的尚未抵扣的股权投资余额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本年可抵扣的股权投资额（3+4）</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本年可用于抵扣的应纳税所得额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本年实际抵扣应纳税所得额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结转以后年度抵扣的股权投资余额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1038" w:type="dxa"/>
            <w:gridSpan w:val="5"/>
            <w:noWrap w:val="0"/>
            <w:vAlign w:val="center"/>
          </w:tcPr>
          <w:p>
            <w:pPr>
              <w:widowControl/>
              <w:jc w:val="left"/>
              <w:rPr>
                <w:rFonts w:ascii="宋体" w:hAnsi="宋体" w:cs="宋体"/>
                <w:b/>
                <w:bCs/>
                <w:kern w:val="0"/>
                <w:sz w:val="20"/>
                <w:szCs w:val="20"/>
              </w:rPr>
            </w:pPr>
            <w:r>
              <w:rPr>
                <w:rFonts w:hint="eastAsia" w:ascii="宋体" w:hAnsi="宋体" w:cs="宋体"/>
                <w:b/>
                <w:bCs/>
                <w:kern w:val="0"/>
                <w:sz w:val="20"/>
                <w:szCs w:val="20"/>
              </w:rPr>
              <w:t>二、通过有限合伙制创业投资企业投资按一定比例抵扣分得的应纳税所得额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本年从有限合伙创投企业应分得的应纳税所得额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本年新增的可抵扣投资额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以前年度结转的可抵扣投资额余额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本年可抵扣投资额（10+11）</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本年实际抵扣应分得的应纳税所得额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结转以后年度抵扣的投资额余额</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c>
          <w:tcPr>
            <w:tcW w:w="1697"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1038" w:type="dxa"/>
            <w:gridSpan w:val="5"/>
            <w:noWrap w:val="0"/>
            <w:vAlign w:val="center"/>
          </w:tcPr>
          <w:p>
            <w:pPr>
              <w:widowControl/>
              <w:jc w:val="left"/>
              <w:rPr>
                <w:rFonts w:ascii="宋体" w:hAnsi="宋体" w:cs="宋体"/>
                <w:b/>
                <w:bCs/>
                <w:kern w:val="0"/>
                <w:sz w:val="20"/>
                <w:szCs w:val="20"/>
              </w:rPr>
            </w:pPr>
            <w:r>
              <w:rPr>
                <w:rFonts w:hint="eastAsia" w:ascii="宋体" w:hAnsi="宋体" w:cs="宋体"/>
                <w:b/>
                <w:bCs/>
                <w:kern w:val="0"/>
                <w:sz w:val="20"/>
                <w:szCs w:val="20"/>
              </w:rPr>
              <w:t>三、抵扣应纳税所得额合计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48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51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合计（7+13）</w:t>
            </w:r>
          </w:p>
        </w:tc>
        <w:tc>
          <w:tcPr>
            <w:tcW w:w="1773" w:type="dxa"/>
            <w:noWrap w:val="0"/>
            <w:vAlign w:val="center"/>
          </w:tcPr>
          <w:p>
            <w:pPr>
              <w:widowControl/>
              <w:jc w:val="center"/>
              <w:rPr>
                <w:rFonts w:ascii="宋体" w:hAnsi="宋体" w:cs="宋体"/>
                <w:kern w:val="0"/>
                <w:sz w:val="20"/>
                <w:szCs w:val="20"/>
              </w:rPr>
            </w:pPr>
          </w:p>
        </w:tc>
        <w:tc>
          <w:tcPr>
            <w:tcW w:w="1911" w:type="dxa"/>
            <w:noWrap w:val="0"/>
            <w:vAlign w:val="center"/>
          </w:tcPr>
          <w:p>
            <w:pPr>
              <w:widowControl/>
              <w:jc w:val="center"/>
              <w:rPr>
                <w:rFonts w:ascii="宋体" w:hAnsi="宋体" w:cs="宋体"/>
                <w:kern w:val="0"/>
                <w:sz w:val="24"/>
              </w:rPr>
            </w:pPr>
          </w:p>
        </w:tc>
        <w:tc>
          <w:tcPr>
            <w:tcW w:w="1697" w:type="dxa"/>
            <w:noWrap w:val="0"/>
            <w:vAlign w:val="center"/>
          </w:tcPr>
          <w:p>
            <w:pPr>
              <w:widowControl/>
              <w:jc w:val="center"/>
              <w:rPr>
                <w:rFonts w:ascii="宋体" w:hAnsi="宋体" w:cs="宋体"/>
                <w:kern w:val="0"/>
                <w:sz w:val="24"/>
              </w:rPr>
            </w:pPr>
          </w:p>
        </w:tc>
      </w:tr>
    </w:tbl>
    <w:p>
      <w:pPr>
        <w:pStyle w:val="4"/>
        <w:bidi w:val="0"/>
        <w:rPr>
          <w:rFonts w:hint="eastAsia"/>
          <w:lang w:eastAsia="zh-CN"/>
        </w:rPr>
      </w:pPr>
      <w:r>
        <w:rPr>
          <w:rFonts w:hint="eastAsia"/>
          <w:lang w:eastAsia="zh-CN"/>
        </w:rPr>
        <w:t>A107030</w:t>
      </w:r>
      <w:r>
        <w:rPr>
          <w:rFonts w:hint="eastAsia"/>
          <w:lang w:eastAsia="zh-CN"/>
        </w:rPr>
        <w:tab/>
      </w:r>
      <w:r>
        <w:rPr>
          <w:rFonts w:hint="eastAsia"/>
          <w:lang w:eastAsia="zh-CN"/>
        </w:rPr>
        <w:t>《抵扣应纳税所得额明细表》填报说明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本表适用于享受创业投资企业抵扣应纳税所得额优惠（含结转）的纳税人填报。纳税人根据税法、《国家税务总局关于实施创业投资企业所得税优惠问题的通知》（国税发〔2009〕87号）、《财政部 国家税务总局关于执行企业所得税优惠政策若干问题的通知》（财税〔2009〕69号）、《财政部 国家税务总局关于将国家自主创新示范区有关税收试点政策推广到全国范围实施的通知》（财税〔2015〕116号）、《国家税务总局关于有限合伙制创业投资企业法人合伙人企业所得税有关问题的公告》（国家税务总局公告2015年第81号）、《财政部 税务总局关于创业投资企业和天使投资个人有关税收试点政策的通知》（财税〔2017〕38号）、《国家税务总局关于创业投资企业和天使投资个人税收试点政策有关问题的公告》（国家税务总局公告2017年第20号）等规定，填报本年度发生的创业投资企业抵扣应纳税所得额优惠情况。企业只要本年有新增符合条件的投资额、从有限合伙制创业投资企业分得的应纳税所得额或以前年度结转的尚未抵扣的股权投资余额，无论本年是否抵扣应纳税所得额，均需填报本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企业同时存在创业投资企业直接投资和通过有限合伙制创业投资企业投资两种情形的，应先填写本表的“二、通过有限合伙制创业投资企业投资按一定比例抵扣分得的应纳税所得额”。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一、创业投资企业直接投资按投资额一定比例抵扣应纳税所得额”：由创业投资企业（非合伙制）纳税人填报其以股权投资方式直接投资未上市的中小高新技术企业和投资于种子期、初创期科技型企业2年（24个月，下同）以上限额抵免应纳税所得额的金额。对于通过有限合伙制创业投资企业间接投资未上市的中小高新技术企业和投资于种子期、初创期科技型企业享受优惠政策填写本表第9行至第14行。具体行次如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本年新增的符合条件的股权投资额”：填报创业投资企业采取股权投资方式投资于未上市的中小高新技术企业和投资于种子期、初创期科技型企业满2年的，本年新增的符合条件的股权投资额。本行第1列＝本行第2列+本行第3列。无论企业本年是否盈利，有符合条件的投资额即填报本表，以后年度盈利时填写第4行“以前年度结转的尚未抵扣的股权投资余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2、第3行“本年新增的可抵扣的股权投资额”：本行填报第1×2行金额。本行第1列＝本行第2列+本行第3列。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3、第4行“以前年度结转的尚未抵扣的股权投资余额”：填报以前年度符合条件的尚未抵扣的股权投资余额。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4、第5行“本年可抵扣的股权投资额”：本行填报第3+4行的合计金额。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5、第6行“本年可用于抵扣的应纳税所得额合计金额”：本行第1列填报表A100000第19-20-21行-本表第13行第1列“本年实际抵扣应分得的应纳税所得额”的金额，若金额小于零，则填报零。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6、第7行“本年实际抵扣应纳税所得额”：若第5行第1列≤第6行第1列，则本行第1列＝第5行第1列；若第5行第1列＞第6行第1列，则本行第1列＝第6行第1列。本行第1列＝本行第2列+本行第3列。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7、第8行“结转以后年度抵扣的股权投资余额”：填报本年可抵扣的股权投资额大于本年实际抵扣应纳税所得额时，抵扣后余额部分结转以后年度抵扣的金额。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二、通过有限合伙制创业投资企业投资按一定比例抵扣分得的应纳税所得额”：企业作为有限合伙制创业投资企业的合伙人，通过合伙企业间接投资未上市中小高新技术企业和种子期、初创期科技型企业，享受有限合伙制创业投资企业法人合伙人按投资额的一定比例抵扣应纳税所得额政策，在本部分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9行“本年从有限合伙创投企业应分得的应纳税所得额”：填写企业作为法人合伙人，通过有限合伙制创业投资企业投资未上市的中小高新技术企业或者投资于种子期、初创期科技型企业，无论本年是否盈利、是否抵扣应纳税所得额，只要本年从有限合伙制创业投资企业中分配归属于该法人合伙人的应纳税所得额，需填写本行。本行第1列＝本行第2列+本行第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10行“本年新增的可抵扣投资额”：填写企业作为法人合伙人，通过有限合伙制创业投资企业投资未上市中小高新技术企业和种子期、初创期科技型企业，本年投资满2年符合条件的可抵扣投资额中归属于该法人合伙人的本年新增可抵扣投资额。无论本年是否盈利、是否需要抵扣应纳税所得额，均需填写本行。本行第1列＝本行第2列+本行第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有限合伙制创业投资企业的法人合伙人对未上市中小高新技术企业和种子期、初创期科技型企业的投资额，按照有限合伙制创业投资企业的投资额和合伙协议约定的法人合伙人占有限合伙制创业投资企业的出资比例计算确定。其中，有限合伙制创业投资企业的投资额按实缴投资额计算；法人合伙人占有限合伙制创业投资企业的出资比例按法人合伙人对有限合伙制创业投资企业的实缴出资额占该有限合伙制创业投资企业的全部实缴出资额的比例计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3、第11行“以前年度结转的可抵扣投资额”：填写法人合伙人上年度未抵扣，可以结转到本年及以后年度的抵扣投资额。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4、第12行“本年可抵扣投资额”：填写本年法人合伙人可用于抵扣的投资额合计，包括本年新增和以前年度结转两部分，等于第10行+第11行。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13行“本年实际抵扣应分得的应纳税所得额”：填写本年法人合伙人享受优惠实际抵扣的投资额，本行第1列为第9行第1列“本年从有限合伙创投企业应分得的应纳税所得额”、第12行第1列“本年可抵扣投资额”、主表第19-20-21行的三者孰小值，若金额小于零，则填报零。本行第1列＝第2+3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6、第14行“结转以后年度抵扣的投资额余额”：本年可抵扣投资额大于应分得的应纳税所得额时，抵扣后余额部分结转以后年度抵扣的金额。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（三）“三、抵扣应纳税所得额合计”：上述优惠合计额，带入表A100000表计算应纳税所得额。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第15行“合计”＝7行+13行。本行第1列＝本行第2列+本行第3列。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（四）列次填报：第1列填报抵扣应纳税所得额的整体情况，第2列填报投资于未上市中小高新技术企业部分，第3列填报投资于种子期、初创期科技型企业部分。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1、第3行＝第1×2行。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2、第5行＝第3+4行。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3、第7行：若第5行≤第6行，则本行第1列＝第5行；第5行＞第6行，则本行第1列＝第6行。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4、第8行：第5行＞第6行时，本行＝第5-7行；第5行≤第6行时，本行＝0。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5、第12行＝第10+11行。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6、第14行＝第12-13行。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7、第15行＝第7+13行。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8、第1列＝第2列+第3列。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1、第6行第1列＝表A100000第19-20-21行-本表第13行第1列；若表A100000第19-20-21行-本表第13行第1列＜0，第6行第1列＝0。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2、第15行第1列＝表A100000第22行。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3、第13行第1列＝本表第9行第1列、第12行第1列、表A100000第19-20-21行三者的孰小值；若上述孰小值＜0，第13行第1列＝0。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A107040</w:t>
      </w:r>
      <w:r>
        <w:rPr>
          <w:rFonts w:hint="eastAsia"/>
          <w:lang w:eastAsia="zh-CN"/>
        </w:rPr>
        <w:tab/>
      </w:r>
      <w:r>
        <w:rPr>
          <w:rFonts w:hint="eastAsia"/>
          <w:lang w:eastAsia="zh-CN"/>
        </w:rPr>
        <w:t>减免所得税优惠明细表</w:t>
      </w:r>
    </w:p>
    <w:tbl>
      <w:tblPr>
        <w:tblStyle w:val="8"/>
        <w:tblW w:w="10542" w:type="dxa"/>
        <w:tblInd w:w="13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20"/>
        <w:gridCol w:w="8752"/>
        <w:gridCol w:w="77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bottom w:val="single" w:color="000000" w:sz="6" w:space="0"/>
              <w:right w:val="single" w:color="000000" w:sz="6" w:space="0"/>
            </w:tcBorders>
            <w:noWrap w:val="0"/>
            <w:vAlign w:val="top"/>
          </w:tcPr>
          <w:p>
            <w:pPr>
              <w:pStyle w:val="11"/>
              <w:spacing w:before="99"/>
              <w:ind w:left="310"/>
              <w:rPr>
                <w:sz w:val="20"/>
              </w:rPr>
            </w:pPr>
            <w:r>
              <w:rPr>
                <w:sz w:val="20"/>
              </w:rPr>
              <w:t>行次</w:t>
            </w:r>
          </w:p>
        </w:tc>
        <w:tc>
          <w:tcPr>
            <w:tcW w:w="8752" w:type="dxa"/>
            <w:tcBorders>
              <w:left w:val="single" w:color="000000" w:sz="6" w:space="0"/>
              <w:bottom w:val="single" w:color="000000" w:sz="6" w:space="0"/>
              <w:right w:val="single" w:color="000000" w:sz="6" w:space="0"/>
            </w:tcBorders>
            <w:noWrap w:val="0"/>
            <w:vAlign w:val="top"/>
          </w:tcPr>
          <w:p>
            <w:pPr>
              <w:pStyle w:val="11"/>
              <w:tabs>
                <w:tab w:val="left" w:pos="1025"/>
              </w:tabs>
              <w:spacing w:before="99"/>
              <w:ind w:left="27"/>
              <w:jc w:val="center"/>
              <w:rPr>
                <w:sz w:val="20"/>
              </w:rPr>
            </w:pPr>
            <w:r>
              <w:rPr>
                <w:sz w:val="20"/>
              </w:rPr>
              <w:t>项</w:t>
            </w:r>
            <w:r>
              <w:rPr>
                <w:sz w:val="20"/>
              </w:rPr>
              <w:tab/>
            </w:r>
            <w:r>
              <w:rPr>
                <w:sz w:val="20"/>
              </w:rPr>
              <w:t>目</w:t>
            </w:r>
          </w:p>
        </w:tc>
        <w:tc>
          <w:tcPr>
            <w:tcW w:w="770" w:type="dxa"/>
            <w:tcBorders>
              <w:left w:val="single" w:color="000000" w:sz="6" w:space="0"/>
              <w:bottom w:val="single" w:color="000000" w:sz="6" w:space="0"/>
            </w:tcBorders>
            <w:noWrap w:val="0"/>
            <w:vAlign w:val="top"/>
          </w:tcPr>
          <w:p>
            <w:pPr>
              <w:pStyle w:val="11"/>
              <w:spacing w:before="99"/>
              <w:ind w:left="120" w:right="87"/>
              <w:jc w:val="center"/>
              <w:rPr>
                <w:sz w:val="20"/>
              </w:rPr>
            </w:pPr>
            <w:r>
              <w:rPr>
                <w:sz w:val="20"/>
              </w:rPr>
              <w:t>金 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211"/>
              <w:rPr>
                <w:sz w:val="20"/>
              </w:rPr>
            </w:pPr>
            <w:r>
              <w:rPr>
                <w:w w:val="99"/>
                <w:sz w:val="20"/>
              </w:rPr>
              <w:t>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一、符合条件的小型微利企业减免企业所得税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100"/>
              <w:ind w:left="211"/>
              <w:rPr>
                <w:sz w:val="20"/>
              </w:rPr>
            </w:pPr>
            <w:r>
              <w:rPr>
                <w:w w:val="99"/>
                <w:sz w:val="20"/>
              </w:rPr>
              <w:t>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0"/>
              <w:ind w:left="113"/>
              <w:rPr>
                <w:sz w:val="20"/>
              </w:rPr>
            </w:pPr>
            <w:r>
              <w:rPr>
                <w:sz w:val="20"/>
              </w:rPr>
              <w:t>二、国家需要重点扶持的高新技术企业减按 15%的税率征收企业所得税（填写 A107041）</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130"/>
              <w:ind w:left="211"/>
              <w:rPr>
                <w:sz w:val="20"/>
              </w:rPr>
            </w:pPr>
            <w:r>
              <w:rPr>
                <w:w w:val="99"/>
                <w:sz w:val="20"/>
              </w:rPr>
              <w:t>3</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60" w:lineRule="atLeast"/>
              <w:ind w:left="466" w:right="84" w:hanging="353"/>
              <w:rPr>
                <w:sz w:val="20"/>
              </w:rPr>
            </w:pPr>
            <w:r>
              <w:rPr>
                <w:w w:val="95"/>
                <w:sz w:val="20"/>
              </w:rPr>
              <w:t>三、经济特区和上海浦东新区新设立的高新技术企业在区内取得的所得定期减免企业所得税（填写</w:t>
            </w:r>
            <w:r>
              <w:rPr>
                <w:sz w:val="20"/>
              </w:rPr>
              <w:t>A107041）</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2"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6"/>
              <w:ind w:left="211"/>
              <w:rPr>
                <w:sz w:val="20"/>
              </w:rPr>
            </w:pPr>
            <w:r>
              <w:rPr>
                <w:w w:val="99"/>
                <w:sz w:val="20"/>
              </w:rPr>
              <w:t>4</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6"/>
              <w:ind w:left="113"/>
              <w:rPr>
                <w:sz w:val="20"/>
              </w:rPr>
            </w:pPr>
            <w:r>
              <w:rPr>
                <w:sz w:val="20"/>
              </w:rPr>
              <w:t>四、受灾地区农村信用社免征企业所得税</w:t>
            </w:r>
          </w:p>
        </w:tc>
        <w:tc>
          <w:tcPr>
            <w:tcW w:w="770" w:type="dxa"/>
            <w:tcBorders>
              <w:top w:val="single" w:color="000000" w:sz="6" w:space="0"/>
              <w:left w:val="single" w:color="000000" w:sz="6" w:space="0"/>
              <w:bottom w:val="single" w:color="000000" w:sz="6" w:space="0"/>
            </w:tcBorders>
            <w:noWrap w:val="0"/>
            <w:vAlign w:val="top"/>
          </w:tcPr>
          <w:p>
            <w:pPr>
              <w:pStyle w:val="11"/>
              <w:spacing w:before="96"/>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211"/>
              <w:rPr>
                <w:sz w:val="20"/>
              </w:rPr>
            </w:pPr>
            <w:r>
              <w:rPr>
                <w:w w:val="99"/>
                <w:sz w:val="20"/>
              </w:rPr>
              <w:t>5</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五、动漫企业自主开发、生产动漫产品定期减免企业所得税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211"/>
              <w:rPr>
                <w:sz w:val="20"/>
              </w:rPr>
            </w:pPr>
            <w:r>
              <w:rPr>
                <w:w w:val="99"/>
                <w:sz w:val="20"/>
              </w:rPr>
              <w:t>6</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六、线宽小于 0</w:t>
            </w:r>
            <w:r>
              <w:rPr>
                <w:rFonts w:hint="eastAsia"/>
                <w:sz w:val="20"/>
                <w:lang w:eastAsia="zh-CN"/>
              </w:rPr>
              <w:t>、</w:t>
            </w:r>
            <w:r>
              <w:rPr>
                <w:sz w:val="20"/>
              </w:rPr>
              <w:t>8 微米（含）的集成电路生产企业减免企业所得税（填写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211"/>
              <w:rPr>
                <w:sz w:val="20"/>
              </w:rPr>
            </w:pPr>
            <w:r>
              <w:rPr>
                <w:w w:val="99"/>
                <w:sz w:val="20"/>
              </w:rPr>
              <w:t>7</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3"/>
              <w:rPr>
                <w:sz w:val="20"/>
              </w:rPr>
            </w:pPr>
            <w:r>
              <w:rPr>
                <w:sz w:val="20"/>
              </w:rPr>
              <w:t>七、线宽小于 0</w:t>
            </w:r>
            <w:r>
              <w:rPr>
                <w:rFonts w:hint="eastAsia"/>
                <w:sz w:val="20"/>
                <w:lang w:eastAsia="zh-CN"/>
              </w:rPr>
              <w:t>、</w:t>
            </w:r>
            <w:r>
              <w:rPr>
                <w:sz w:val="20"/>
              </w:rPr>
              <w:t>25 微米的集成电路生产企业减按 15%税率征收企业所得税（填写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spacing w:before="97"/>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211"/>
              <w:rPr>
                <w:sz w:val="20"/>
              </w:rPr>
            </w:pPr>
            <w:r>
              <w:rPr>
                <w:w w:val="99"/>
                <w:sz w:val="20"/>
              </w:rPr>
              <w:t>8</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八、投资额超过 80 亿元的集成电路生产企业减按 15%税率征收企业所得税（填写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spacing w:before="98"/>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211"/>
              <w:rPr>
                <w:sz w:val="20"/>
              </w:rPr>
            </w:pPr>
            <w:r>
              <w:rPr>
                <w:w w:val="99"/>
                <w:sz w:val="20"/>
              </w:rPr>
              <w:t>9</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3"/>
              <w:rPr>
                <w:sz w:val="20"/>
              </w:rPr>
            </w:pPr>
            <w:r>
              <w:rPr>
                <w:sz w:val="20"/>
              </w:rPr>
              <w:t>九、线宽小于 0</w:t>
            </w:r>
            <w:r>
              <w:rPr>
                <w:rFonts w:hint="eastAsia"/>
                <w:sz w:val="20"/>
                <w:lang w:eastAsia="zh-CN"/>
              </w:rPr>
              <w:t>、</w:t>
            </w:r>
            <w:r>
              <w:rPr>
                <w:sz w:val="20"/>
              </w:rPr>
              <w:t>25 微米的集成电路生产企业减免企业所得税（填写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10</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十、投资额超过 80 亿元的集成电路生产企业减免企业所得税（填写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11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十一、新办集成电路设计企业减免企业所得税（填写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12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十二、国家规划布局内集成电路设计企业可减按 10%的税率征收企业所得税（填写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spacing w:before="99"/>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13</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十三、符合条件的软件企业减免企业所得税（填写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14</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3"/>
              <w:rPr>
                <w:sz w:val="20"/>
              </w:rPr>
            </w:pPr>
            <w:r>
              <w:rPr>
                <w:sz w:val="20"/>
              </w:rPr>
              <w:t>十四、国家规划布局内重点软件企业可减按 10%的税率征收企业所得税（填写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spacing w:before="97"/>
              <w:ind w:left="37"/>
              <w:jc w:val="center"/>
              <w:rPr>
                <w:sz w:val="20"/>
              </w:rPr>
            </w:pPr>
            <w:r>
              <w:rPr>
                <w:w w:val="99"/>
                <w:sz w:val="20"/>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15</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十五、符合条件的集成电路封装测试企业定期减免企业所得税（填写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131"/>
              <w:ind w:left="106"/>
              <w:rPr>
                <w:sz w:val="20"/>
              </w:rPr>
            </w:pPr>
            <w:r>
              <w:rPr>
                <w:sz w:val="20"/>
              </w:rPr>
              <w:t>16</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3"/>
              <w:rPr>
                <w:sz w:val="20"/>
              </w:rPr>
            </w:pPr>
            <w:r>
              <w:rPr>
                <w:sz w:val="20"/>
              </w:rPr>
              <w:t>十六、符合条件的集成电路关键专用材料生产企业、集成电路专用设备生产企业定期减免企业所得</w:t>
            </w:r>
          </w:p>
          <w:p>
            <w:pPr>
              <w:pStyle w:val="11"/>
              <w:spacing w:before="3" w:line="238" w:lineRule="exact"/>
              <w:ind w:left="677"/>
              <w:rPr>
                <w:sz w:val="20"/>
              </w:rPr>
            </w:pPr>
            <w:r>
              <w:rPr>
                <w:sz w:val="20"/>
              </w:rPr>
              <w:t>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17</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十七、经营性文化事业单位转制为企业的免征企业所得税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18</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十八、符合条件的生产和装配伤残人员专门用品企业免征企业所得税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19</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十九、技术先进型服务企业（服务外包类）减按 15%的税率征收企业所得税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20</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二十、技术先进型服务企业（服务贸易类）减按 15%的税率征收企业所得税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tabs>
                <w:tab w:val="left" w:pos="8451"/>
              </w:tabs>
              <w:spacing w:before="97"/>
              <w:ind w:left="113"/>
              <w:rPr>
                <w:sz w:val="20"/>
              </w:rPr>
            </w:pPr>
            <w:r>
              <w:rPr>
                <w:sz w:val="20"/>
              </w:rPr>
              <w:t>二十一</w:t>
            </w:r>
            <w:r>
              <w:rPr>
                <w:spacing w:val="-99"/>
                <w:sz w:val="20"/>
              </w:rPr>
              <w:t>、</w:t>
            </w:r>
            <w:r>
              <w:rPr>
                <w:sz w:val="20"/>
              </w:rPr>
              <w:t>设在西部地区的鼓励类产业企业减按</w:t>
            </w:r>
            <w:r>
              <w:rPr>
                <w:spacing w:val="-68"/>
                <w:sz w:val="20"/>
              </w:rPr>
              <w:t xml:space="preserve"> </w:t>
            </w:r>
            <w:r>
              <w:rPr>
                <w:sz w:val="20"/>
              </w:rPr>
              <w:t>15%的税率征收企业所得税(主营业务收入占比</w:t>
            </w:r>
            <w:r>
              <w:rPr>
                <w:sz w:val="20"/>
                <w:u w:val="single"/>
              </w:rPr>
              <w:t xml:space="preserve"> </w:t>
            </w:r>
            <w:r>
              <w:rPr>
                <w:sz w:val="20"/>
                <w:u w:val="single"/>
              </w:rPr>
              <w:tab/>
            </w:r>
            <w:r>
              <w:rPr>
                <w:sz w:val="20"/>
              </w:rPr>
              <w:t>%)</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二十二、新疆困难地区新办企业定期减免企业所得税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23</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3"/>
              <w:rPr>
                <w:sz w:val="20"/>
              </w:rPr>
            </w:pPr>
            <w:r>
              <w:rPr>
                <w:sz w:val="20"/>
              </w:rPr>
              <w:t>二十三、新疆喀什、霍尔果斯特殊经济开发区新办企业定期免征企业所得税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24</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二十四、广东横琴、福建平潭、深圳前海等地区的鼓励类产业企业减按 15%税率征收企业所得税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25</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二十五、北京冬奥组委、北京冬奥会测试赛赛事组委会免征企业所得税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1"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26</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3"/>
              <w:rPr>
                <w:sz w:val="20"/>
              </w:rPr>
            </w:pPr>
            <w:r>
              <w:rPr>
                <w:spacing w:val="-6"/>
                <w:sz w:val="20"/>
              </w:rPr>
              <w:t xml:space="preserve">二十六、线宽小于 </w:t>
            </w:r>
            <w:r>
              <w:rPr>
                <w:sz w:val="20"/>
              </w:rPr>
              <w:t>130</w:t>
            </w:r>
            <w:r>
              <w:rPr>
                <w:spacing w:val="-19"/>
                <w:sz w:val="20"/>
              </w:rPr>
              <w:t xml:space="preserve"> 纳米</w:t>
            </w:r>
            <w:r>
              <w:rPr>
                <w:sz w:val="20"/>
              </w:rPr>
              <w:t>（含）的集成电路生产企业减免企业所得税（</w:t>
            </w:r>
            <w:r>
              <w:rPr>
                <w:spacing w:val="-8"/>
                <w:sz w:val="20"/>
              </w:rPr>
              <w:t xml:space="preserve">原政策，填写 </w:t>
            </w:r>
            <w:r>
              <w:rPr>
                <w:sz w:val="20"/>
              </w:rPr>
              <w:t>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bl>
    <w:p>
      <w:pPr>
        <w:bidi w:val="0"/>
        <w:rPr>
          <w:rFonts w:hint="eastAsia" w:ascii="微软雅黑" w:hAnsi="微软雅黑" w:eastAsia="微软雅黑" w:cs="微软雅黑"/>
          <w:lang w:eastAsia="zh-CN"/>
        </w:rPr>
      </w:pPr>
    </w:p>
    <w:p>
      <w:pPr>
        <w:bidi w:val="0"/>
        <w:rPr>
          <w:rFonts w:hint="eastAsia" w:ascii="微软雅黑" w:hAnsi="微软雅黑" w:eastAsia="微软雅黑" w:cs="微软雅黑"/>
          <w:lang w:eastAsia="zh-CN"/>
        </w:rPr>
      </w:pPr>
    </w:p>
    <w:p>
      <w:pPr>
        <w:bidi w:val="0"/>
        <w:rPr>
          <w:rFonts w:hint="eastAsia" w:ascii="微软雅黑" w:hAnsi="微软雅黑" w:eastAsia="微软雅黑" w:cs="微软雅黑"/>
          <w:lang w:eastAsia="zh-CN"/>
        </w:rPr>
      </w:pPr>
    </w:p>
    <w:p>
      <w:pPr>
        <w:bidi w:val="0"/>
        <w:rPr>
          <w:rFonts w:hint="eastAsia" w:ascii="微软雅黑" w:hAnsi="微软雅黑" w:eastAsia="微软雅黑" w:cs="微软雅黑"/>
          <w:lang w:eastAsia="zh-CN"/>
        </w:rPr>
      </w:pPr>
    </w:p>
    <w:tbl>
      <w:tblPr>
        <w:tblStyle w:val="8"/>
        <w:tblW w:w="10542" w:type="dxa"/>
        <w:tblInd w:w="13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20"/>
        <w:gridCol w:w="8752"/>
        <w:gridCol w:w="77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bottom w:val="single" w:color="000000" w:sz="6" w:space="0"/>
              <w:right w:val="single" w:color="000000" w:sz="6" w:space="0"/>
            </w:tcBorders>
            <w:noWrap w:val="0"/>
            <w:vAlign w:val="top"/>
          </w:tcPr>
          <w:p>
            <w:pPr>
              <w:pStyle w:val="11"/>
              <w:spacing w:before="98"/>
              <w:ind w:left="310"/>
              <w:rPr>
                <w:sz w:val="20"/>
              </w:rPr>
            </w:pPr>
            <w:r>
              <w:rPr>
                <w:sz w:val="20"/>
              </w:rPr>
              <w:t>行次</w:t>
            </w:r>
          </w:p>
        </w:tc>
        <w:tc>
          <w:tcPr>
            <w:tcW w:w="8752" w:type="dxa"/>
            <w:tcBorders>
              <w:left w:val="single" w:color="000000" w:sz="6" w:space="0"/>
              <w:bottom w:val="single" w:color="000000" w:sz="6" w:space="0"/>
              <w:right w:val="single" w:color="000000" w:sz="6" w:space="0"/>
            </w:tcBorders>
            <w:noWrap w:val="0"/>
            <w:vAlign w:val="top"/>
          </w:tcPr>
          <w:p>
            <w:pPr>
              <w:pStyle w:val="11"/>
              <w:tabs>
                <w:tab w:val="left" w:pos="1025"/>
              </w:tabs>
              <w:spacing w:before="98"/>
              <w:ind w:left="27"/>
              <w:jc w:val="center"/>
              <w:rPr>
                <w:sz w:val="20"/>
              </w:rPr>
            </w:pPr>
            <w:r>
              <w:rPr>
                <w:sz w:val="20"/>
              </w:rPr>
              <w:t>项</w:t>
            </w:r>
            <w:r>
              <w:rPr>
                <w:sz w:val="20"/>
              </w:rPr>
              <w:tab/>
            </w:r>
            <w:r>
              <w:rPr>
                <w:sz w:val="20"/>
              </w:rPr>
              <w:t>目</w:t>
            </w:r>
          </w:p>
        </w:tc>
        <w:tc>
          <w:tcPr>
            <w:tcW w:w="770" w:type="dxa"/>
            <w:tcBorders>
              <w:left w:val="single" w:color="000000" w:sz="6" w:space="0"/>
              <w:bottom w:val="single" w:color="000000" w:sz="6" w:space="0"/>
            </w:tcBorders>
            <w:noWrap w:val="0"/>
            <w:vAlign w:val="top"/>
          </w:tcPr>
          <w:p>
            <w:pPr>
              <w:pStyle w:val="11"/>
              <w:spacing w:before="98"/>
              <w:ind w:left="140"/>
              <w:rPr>
                <w:sz w:val="20"/>
              </w:rPr>
            </w:pPr>
            <w:r>
              <w:rPr>
                <w:sz w:val="20"/>
              </w:rPr>
              <w:t>金 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130"/>
              <w:ind w:left="106"/>
              <w:rPr>
                <w:sz w:val="20"/>
              </w:rPr>
            </w:pPr>
            <w:r>
              <w:rPr>
                <w:sz w:val="20"/>
              </w:rPr>
              <w:t>27</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3"/>
              <w:rPr>
                <w:sz w:val="20"/>
              </w:rPr>
            </w:pPr>
            <w:r>
              <w:rPr>
                <w:spacing w:val="-6"/>
                <w:sz w:val="20"/>
              </w:rPr>
              <w:t xml:space="preserve">二十七、线宽小于 </w:t>
            </w:r>
            <w:r>
              <w:rPr>
                <w:sz w:val="20"/>
              </w:rPr>
              <w:t>65</w:t>
            </w:r>
            <w:r>
              <w:rPr>
                <w:spacing w:val="-18"/>
                <w:sz w:val="20"/>
              </w:rPr>
              <w:t xml:space="preserve"> 纳米</w:t>
            </w:r>
            <w:r>
              <w:rPr>
                <w:sz w:val="20"/>
              </w:rPr>
              <w:t>（含）</w:t>
            </w:r>
            <w:r>
              <w:rPr>
                <w:spacing w:val="-8"/>
                <w:sz w:val="20"/>
              </w:rPr>
              <w:t xml:space="preserve">或投资额超过 </w:t>
            </w:r>
            <w:r>
              <w:rPr>
                <w:sz w:val="20"/>
              </w:rPr>
              <w:t>150</w:t>
            </w:r>
            <w:r>
              <w:rPr>
                <w:spacing w:val="-8"/>
                <w:sz w:val="20"/>
              </w:rPr>
              <w:t xml:space="preserve"> 亿元的集成电路生产企业减免企业所得税</w:t>
            </w:r>
            <w:r>
              <w:rPr>
                <w:sz w:val="20"/>
              </w:rPr>
              <w:t>（原</w:t>
            </w:r>
          </w:p>
          <w:p>
            <w:pPr>
              <w:pStyle w:val="11"/>
              <w:spacing w:before="3" w:line="239" w:lineRule="exact"/>
              <w:ind w:left="113"/>
              <w:rPr>
                <w:sz w:val="20"/>
              </w:rPr>
            </w:pPr>
            <w:r>
              <w:rPr>
                <w:sz w:val="20"/>
              </w:rPr>
              <w:t>政策，填写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二十八、其他（28</w:t>
            </w:r>
            <w:r>
              <w:rPr>
                <w:rFonts w:hint="eastAsia"/>
                <w:sz w:val="20"/>
                <w:lang w:eastAsia="zh-CN"/>
              </w:rPr>
              <w:t>、</w:t>
            </w:r>
            <w:r>
              <w:rPr>
                <w:sz w:val="20"/>
              </w:rPr>
              <w:t>1+28</w:t>
            </w:r>
            <w:r>
              <w:rPr>
                <w:rFonts w:hint="eastAsia"/>
                <w:sz w:val="20"/>
                <w:lang w:eastAsia="zh-CN"/>
              </w:rPr>
              <w:t>、</w:t>
            </w:r>
            <w:r>
              <w:rPr>
                <w:sz w:val="20"/>
              </w:rPr>
              <w:t>2+28</w:t>
            </w:r>
            <w:r>
              <w:rPr>
                <w:rFonts w:hint="eastAsia"/>
                <w:sz w:val="20"/>
                <w:lang w:eastAsia="zh-CN"/>
              </w:rPr>
              <w:t>、</w:t>
            </w:r>
            <w:r>
              <w:rPr>
                <w:sz w:val="20"/>
              </w:rPr>
              <w:t>3+28</w:t>
            </w:r>
            <w:r>
              <w:rPr>
                <w:rFonts w:hint="eastAsia"/>
                <w:sz w:val="20"/>
                <w:lang w:eastAsia="zh-CN"/>
              </w:rPr>
              <w:t>、</w:t>
            </w:r>
            <w:r>
              <w:rPr>
                <w:sz w:val="20"/>
              </w:rPr>
              <w:t>4+28</w:t>
            </w:r>
            <w:r>
              <w:rPr>
                <w:rFonts w:hint="eastAsia"/>
                <w:sz w:val="20"/>
                <w:lang w:eastAsia="zh-CN"/>
              </w:rPr>
              <w:t>、</w:t>
            </w:r>
            <w:r>
              <w:rPr>
                <w:sz w:val="20"/>
              </w:rPr>
              <w:t>5+28</w:t>
            </w:r>
            <w:r>
              <w:rPr>
                <w:rFonts w:hint="eastAsia"/>
                <w:sz w:val="20"/>
                <w:lang w:eastAsia="zh-CN"/>
              </w:rPr>
              <w:t>、</w:t>
            </w:r>
            <w:r>
              <w:rPr>
                <w:sz w:val="20"/>
              </w:rPr>
              <w:t>6）</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28</w:t>
            </w:r>
            <w:r>
              <w:rPr>
                <w:rFonts w:hint="eastAsia"/>
                <w:sz w:val="20"/>
                <w:lang w:val="en-US" w:eastAsia="zh-CN"/>
              </w:rPr>
              <w:t>.</w:t>
            </w:r>
            <w:r>
              <w:rPr>
                <w:sz w:val="20"/>
              </w:rPr>
              <w:t>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514"/>
              <w:rPr>
                <w:sz w:val="20"/>
              </w:rPr>
            </w:pPr>
            <w:r>
              <w:rPr>
                <w:sz w:val="20"/>
              </w:rPr>
              <w:t>（一）从事污染防治的第三方企业减按 15%的税率征收企业所得税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r>
              <w:rPr>
                <w:rFonts w:hint="eastAsia"/>
                <w:sz w:val="20"/>
                <w:lang w:val="en-US" w:eastAsia="zh-CN"/>
              </w:rPr>
              <w:t>.</w:t>
            </w:r>
            <w:r>
              <w:rPr>
                <w:sz w:val="20"/>
              </w:rPr>
              <w:t>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514"/>
              <w:rPr>
                <w:sz w:val="20"/>
              </w:rPr>
            </w:pPr>
            <w:r>
              <w:rPr>
                <w:sz w:val="20"/>
              </w:rPr>
              <w:t>（二）上海自贸试验区临港新片区的重点产业企业减按 15%的税率征收企业所得税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28</w:t>
            </w:r>
            <w:r>
              <w:rPr>
                <w:rFonts w:hint="eastAsia"/>
                <w:sz w:val="20"/>
                <w:lang w:val="en-US" w:eastAsia="zh-CN"/>
              </w:rPr>
              <w:t>.</w:t>
            </w:r>
            <w:r>
              <w:rPr>
                <w:sz w:val="20"/>
              </w:rPr>
              <w:t>3</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514"/>
              <w:rPr>
                <w:sz w:val="20"/>
              </w:rPr>
            </w:pPr>
            <w:r>
              <w:rPr>
                <w:sz w:val="20"/>
              </w:rPr>
              <w:t>（三）海南自由贸易港鼓励类企业减按 15%税率征收企业所得税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28</w:t>
            </w:r>
            <w:r>
              <w:rPr>
                <w:rFonts w:hint="eastAsia"/>
                <w:sz w:val="20"/>
                <w:lang w:val="en-US" w:eastAsia="zh-CN"/>
              </w:rPr>
              <w:t>.</w:t>
            </w:r>
            <w:r>
              <w:rPr>
                <w:sz w:val="20"/>
              </w:rPr>
              <w:t>4</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514"/>
              <w:rPr>
                <w:sz w:val="20"/>
              </w:rPr>
            </w:pPr>
            <w:r>
              <w:rPr>
                <w:sz w:val="20"/>
              </w:rPr>
              <w:t>（四）国家鼓励的集成电路和软件企业减免企业所得税政策（28</w:t>
            </w:r>
            <w:r>
              <w:rPr>
                <w:rFonts w:hint="eastAsia"/>
                <w:sz w:val="20"/>
                <w:lang w:eastAsia="zh-CN"/>
              </w:rPr>
              <w:t>、</w:t>
            </w:r>
            <w:r>
              <w:rPr>
                <w:sz w:val="20"/>
              </w:rPr>
              <w:t>4</w:t>
            </w:r>
            <w:r>
              <w:rPr>
                <w:rFonts w:hint="eastAsia"/>
                <w:sz w:val="20"/>
                <w:lang w:eastAsia="zh-CN"/>
              </w:rPr>
              <w:t>、</w:t>
            </w:r>
            <w:r>
              <w:rPr>
                <w:sz w:val="20"/>
              </w:rPr>
              <w:t>1+…+28</w:t>
            </w:r>
            <w:r>
              <w:rPr>
                <w:rFonts w:hint="eastAsia"/>
                <w:sz w:val="20"/>
                <w:lang w:eastAsia="zh-CN"/>
              </w:rPr>
              <w:t>、</w:t>
            </w:r>
            <w:r>
              <w:rPr>
                <w:sz w:val="20"/>
              </w:rPr>
              <w:t>4</w:t>
            </w:r>
            <w:r>
              <w:rPr>
                <w:rFonts w:hint="eastAsia"/>
                <w:sz w:val="20"/>
                <w:lang w:eastAsia="zh-CN"/>
              </w:rPr>
              <w:t>、</w:t>
            </w:r>
            <w:r>
              <w:rPr>
                <w:sz w:val="20"/>
              </w:rPr>
              <w:t>10）</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341"/>
              <w:jc w:val="center"/>
              <w:rPr>
                <w:sz w:val="20"/>
              </w:rPr>
            </w:pPr>
            <w:r>
              <w:rPr>
                <w:sz w:val="20"/>
              </w:rPr>
              <w:t>1</w:t>
            </w:r>
            <w:r>
              <w:rPr>
                <w:rFonts w:hint="eastAsia"/>
                <w:sz w:val="20"/>
                <w:lang w:eastAsia="zh-CN"/>
              </w:rPr>
              <w:t>、</w:t>
            </w:r>
            <w:r>
              <w:rPr>
                <w:sz w:val="20"/>
              </w:rPr>
              <w:t>线宽小于 28 纳米（含）集成电路生产企业减免企业所得税（填写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341"/>
              <w:jc w:val="center"/>
              <w:rPr>
                <w:sz w:val="20"/>
              </w:rPr>
            </w:pPr>
            <w:r>
              <w:rPr>
                <w:sz w:val="20"/>
              </w:rPr>
              <w:t>2</w:t>
            </w:r>
            <w:r>
              <w:rPr>
                <w:rFonts w:hint="eastAsia"/>
                <w:sz w:val="20"/>
                <w:lang w:eastAsia="zh-CN"/>
              </w:rPr>
              <w:t>、</w:t>
            </w:r>
            <w:r>
              <w:rPr>
                <w:sz w:val="20"/>
              </w:rPr>
              <w:t>线宽小于 65 纳米（含）集成电路生产企业减免企业所得税（填写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3</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14"/>
              <w:rPr>
                <w:sz w:val="20"/>
              </w:rPr>
            </w:pPr>
            <w:r>
              <w:rPr>
                <w:sz w:val="20"/>
              </w:rPr>
              <w:t>3</w:t>
            </w:r>
            <w:r>
              <w:rPr>
                <w:rFonts w:hint="eastAsia"/>
                <w:sz w:val="20"/>
                <w:lang w:eastAsia="zh-CN"/>
              </w:rPr>
              <w:t>、</w:t>
            </w:r>
            <w:r>
              <w:rPr>
                <w:sz w:val="20"/>
              </w:rPr>
              <w:t>线宽小于 130 纳米（含）集成电路生产企业减免企业所得税（填写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4</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14"/>
              <w:rPr>
                <w:sz w:val="20"/>
              </w:rPr>
            </w:pPr>
            <w:r>
              <w:rPr>
                <w:sz w:val="20"/>
              </w:rPr>
              <w:t>4</w:t>
            </w:r>
            <w:r>
              <w:rPr>
                <w:rFonts w:hint="eastAsia"/>
                <w:sz w:val="20"/>
                <w:lang w:eastAsia="zh-CN"/>
              </w:rPr>
              <w:t>、</w:t>
            </w:r>
            <w:r>
              <w:rPr>
                <w:sz w:val="20"/>
              </w:rPr>
              <w:t>集成电路设计业减免企业所得税（填写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5</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14"/>
              <w:rPr>
                <w:sz w:val="20"/>
              </w:rPr>
            </w:pPr>
            <w:r>
              <w:rPr>
                <w:sz w:val="20"/>
              </w:rPr>
              <w:t>5</w:t>
            </w:r>
            <w:r>
              <w:rPr>
                <w:rFonts w:hint="eastAsia"/>
                <w:sz w:val="20"/>
                <w:lang w:eastAsia="zh-CN"/>
              </w:rPr>
              <w:t>、</w:t>
            </w:r>
            <w:r>
              <w:rPr>
                <w:sz w:val="20"/>
              </w:rPr>
              <w:t>重点集成电路设计企业减免企业所得税（填写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6</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14"/>
              <w:rPr>
                <w:sz w:val="20"/>
              </w:rPr>
            </w:pPr>
            <w:r>
              <w:rPr>
                <w:sz w:val="20"/>
              </w:rPr>
              <w:t>6</w:t>
            </w:r>
            <w:r>
              <w:rPr>
                <w:rFonts w:hint="eastAsia"/>
                <w:sz w:val="20"/>
                <w:lang w:eastAsia="zh-CN"/>
              </w:rPr>
              <w:t>、</w:t>
            </w:r>
            <w:r>
              <w:rPr>
                <w:sz w:val="20"/>
              </w:rPr>
              <w:t>集成电路装备企业减免企业所得税（填写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7</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14"/>
              <w:rPr>
                <w:sz w:val="20"/>
              </w:rPr>
            </w:pPr>
            <w:r>
              <w:rPr>
                <w:sz w:val="20"/>
              </w:rPr>
              <w:t>7</w:t>
            </w:r>
            <w:r>
              <w:rPr>
                <w:rFonts w:hint="eastAsia"/>
                <w:sz w:val="20"/>
                <w:lang w:eastAsia="zh-CN"/>
              </w:rPr>
              <w:t>、</w:t>
            </w:r>
            <w:r>
              <w:rPr>
                <w:sz w:val="20"/>
              </w:rPr>
              <w:t>集成电路材料企业减免企业所得税（填写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8</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14"/>
              <w:rPr>
                <w:sz w:val="20"/>
              </w:rPr>
            </w:pPr>
            <w:r>
              <w:rPr>
                <w:sz w:val="20"/>
              </w:rPr>
              <w:t>8</w:t>
            </w:r>
            <w:r>
              <w:rPr>
                <w:rFonts w:hint="eastAsia"/>
                <w:sz w:val="20"/>
                <w:lang w:eastAsia="zh-CN"/>
              </w:rPr>
              <w:t>、</w:t>
            </w:r>
            <w:r>
              <w:rPr>
                <w:sz w:val="20"/>
              </w:rPr>
              <w:t>集成电路封装、测试企业减免企业所得税（填写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9</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14"/>
              <w:rPr>
                <w:sz w:val="20"/>
              </w:rPr>
            </w:pPr>
            <w:r>
              <w:rPr>
                <w:sz w:val="20"/>
              </w:rPr>
              <w:t>9</w:t>
            </w:r>
            <w:r>
              <w:rPr>
                <w:rFonts w:hint="eastAsia"/>
                <w:sz w:val="20"/>
                <w:lang w:eastAsia="zh-CN"/>
              </w:rPr>
              <w:t>、</w:t>
            </w:r>
            <w:r>
              <w:rPr>
                <w:sz w:val="20"/>
              </w:rPr>
              <w:t>软件企业减免企业所得税（填写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28</w:t>
            </w:r>
            <w:r>
              <w:rPr>
                <w:rFonts w:hint="eastAsia"/>
                <w:sz w:val="20"/>
                <w:lang w:val="en-US" w:eastAsia="zh-CN"/>
              </w:rPr>
              <w:t>.</w:t>
            </w:r>
            <w:r>
              <w:rPr>
                <w:sz w:val="20"/>
              </w:rPr>
              <w:t>4</w:t>
            </w:r>
            <w:r>
              <w:rPr>
                <w:rFonts w:hint="eastAsia"/>
                <w:sz w:val="20"/>
                <w:lang w:val="en-US" w:eastAsia="zh-CN"/>
              </w:rPr>
              <w:t>.</w:t>
            </w:r>
            <w:r>
              <w:rPr>
                <w:sz w:val="20"/>
              </w:rPr>
              <w:t>10</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14"/>
              <w:rPr>
                <w:sz w:val="20"/>
              </w:rPr>
            </w:pPr>
            <w:r>
              <w:rPr>
                <w:sz w:val="20"/>
              </w:rPr>
              <w:t>10</w:t>
            </w:r>
            <w:r>
              <w:rPr>
                <w:rFonts w:hint="eastAsia"/>
                <w:sz w:val="20"/>
                <w:lang w:eastAsia="zh-CN"/>
              </w:rPr>
              <w:t>、</w:t>
            </w:r>
            <w:r>
              <w:rPr>
                <w:sz w:val="20"/>
              </w:rPr>
              <w:t>重点软件企业减免企业所得税（填写 A107042）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28</w:t>
            </w:r>
            <w:r>
              <w:rPr>
                <w:rFonts w:hint="eastAsia"/>
                <w:sz w:val="20"/>
                <w:lang w:val="en-US" w:eastAsia="zh-CN"/>
              </w:rPr>
              <w:t>.</w:t>
            </w:r>
            <w:r>
              <w:rPr>
                <w:sz w:val="20"/>
              </w:rPr>
              <w:t>5</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514"/>
              <w:rPr>
                <w:sz w:val="20"/>
              </w:rPr>
            </w:pPr>
            <w:r>
              <w:rPr>
                <w:sz w:val="20"/>
              </w:rPr>
              <w:t>（五）其他 1</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28</w:t>
            </w:r>
            <w:r>
              <w:rPr>
                <w:rFonts w:hint="eastAsia"/>
                <w:sz w:val="20"/>
                <w:lang w:val="en-US" w:eastAsia="zh-CN"/>
              </w:rPr>
              <w:t>.</w:t>
            </w:r>
            <w:r>
              <w:rPr>
                <w:sz w:val="20"/>
              </w:rPr>
              <w:t>6</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514"/>
              <w:rPr>
                <w:sz w:val="20"/>
              </w:rPr>
            </w:pPr>
            <w:r>
              <w:rPr>
                <w:sz w:val="20"/>
              </w:rPr>
              <w:t>（六）其他 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29</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113"/>
              <w:rPr>
                <w:sz w:val="20"/>
              </w:rPr>
            </w:pPr>
            <w:r>
              <w:rPr>
                <w:sz w:val="20"/>
              </w:rPr>
              <w:t>二十九、减：项目所得额按法定税率减半征收企业所得税叠加享受减免税优惠</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30</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113"/>
              <w:rPr>
                <w:sz w:val="20"/>
              </w:rPr>
            </w:pPr>
            <w:r>
              <w:rPr>
                <w:sz w:val="20"/>
              </w:rPr>
              <w:t>三十、支持和促进重点群体创业就业企业限额减征企业所得税(30</w:t>
            </w:r>
            <w:r>
              <w:rPr>
                <w:rFonts w:hint="eastAsia"/>
                <w:sz w:val="20"/>
                <w:lang w:eastAsia="zh-CN"/>
              </w:rPr>
              <w:t>、</w:t>
            </w:r>
            <w:r>
              <w:rPr>
                <w:sz w:val="20"/>
              </w:rPr>
              <w:t>1+30</w:t>
            </w:r>
            <w:r>
              <w:rPr>
                <w:rFonts w:hint="eastAsia"/>
                <w:sz w:val="20"/>
                <w:lang w:eastAsia="zh-CN"/>
              </w:rPr>
              <w:t>、</w:t>
            </w:r>
            <w:r>
              <w:rPr>
                <w:sz w:val="20"/>
              </w:rPr>
              <w:t>2)</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8"/>
              <w:ind w:left="106"/>
              <w:rPr>
                <w:sz w:val="20"/>
              </w:rPr>
            </w:pPr>
            <w:r>
              <w:rPr>
                <w:sz w:val="20"/>
              </w:rPr>
              <w:t>30</w:t>
            </w:r>
            <w:r>
              <w:rPr>
                <w:rFonts w:hint="eastAsia"/>
                <w:sz w:val="20"/>
                <w:lang w:val="en-US" w:eastAsia="zh-CN"/>
              </w:rPr>
              <w:t>.</w:t>
            </w:r>
            <w:r>
              <w:rPr>
                <w:sz w:val="20"/>
              </w:rPr>
              <w:t>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8"/>
              <w:ind w:left="514"/>
              <w:rPr>
                <w:sz w:val="20"/>
              </w:rPr>
            </w:pPr>
            <w:r>
              <w:rPr>
                <w:sz w:val="20"/>
              </w:rPr>
              <w:t>（一）企业招用建档立卡贫困人口就业扣减企业所得税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7"/>
              <w:ind w:left="106"/>
              <w:rPr>
                <w:sz w:val="20"/>
              </w:rPr>
            </w:pPr>
            <w:r>
              <w:rPr>
                <w:sz w:val="20"/>
              </w:rPr>
              <w:t>30</w:t>
            </w:r>
            <w:r>
              <w:rPr>
                <w:rFonts w:hint="eastAsia"/>
                <w:sz w:val="20"/>
                <w:lang w:val="en-US" w:eastAsia="zh-CN"/>
              </w:rPr>
              <w:t>.</w:t>
            </w:r>
            <w:r>
              <w:rPr>
                <w:sz w:val="20"/>
              </w:rPr>
              <w:t>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7"/>
              <w:ind w:left="514"/>
              <w:rPr>
                <w:sz w:val="20"/>
              </w:rPr>
            </w:pPr>
            <w:r>
              <w:rPr>
                <w:sz w:val="20"/>
              </w:rPr>
              <w:t>（二）企业招用登记失业半年以上人员就业扣减企业所得税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4"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99"/>
              <w:ind w:left="106"/>
              <w:rPr>
                <w:sz w:val="20"/>
              </w:rPr>
            </w:pPr>
            <w:r>
              <w:rPr>
                <w:sz w:val="20"/>
              </w:rPr>
              <w:t>31</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9"/>
              <w:ind w:left="113"/>
              <w:rPr>
                <w:sz w:val="20"/>
              </w:rPr>
            </w:pPr>
            <w:r>
              <w:rPr>
                <w:sz w:val="20"/>
              </w:rPr>
              <w:t>三十一、扶持自主就业退役士兵创业就业企业限额减征企业所得税</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8"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129"/>
              <w:ind w:left="106"/>
              <w:rPr>
                <w:sz w:val="20"/>
              </w:rPr>
            </w:pPr>
            <w:r>
              <w:rPr>
                <w:sz w:val="20"/>
              </w:rPr>
              <w:t>32</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ind w:left="113"/>
              <w:rPr>
                <w:sz w:val="20"/>
              </w:rPr>
            </w:pPr>
            <w:r>
              <w:rPr>
                <w:sz w:val="20"/>
              </w:rPr>
              <w:t>三十二、符合条件的公司型创投企业按照企业年末个人股东持股比例减免企业所得税（个人股东持</w:t>
            </w:r>
          </w:p>
          <w:p>
            <w:pPr>
              <w:pStyle w:val="11"/>
              <w:tabs>
                <w:tab w:val="left" w:pos="1114"/>
              </w:tabs>
              <w:spacing w:before="3" w:line="238" w:lineRule="exact"/>
              <w:ind w:left="113"/>
              <w:rPr>
                <w:sz w:val="20"/>
              </w:rPr>
            </w:pPr>
            <w:r>
              <w:rPr>
                <w:sz w:val="20"/>
              </w:rPr>
              <w:t>股比例</w:t>
            </w:r>
            <w:r>
              <w:rPr>
                <w:sz w:val="20"/>
                <w:u w:val="single"/>
              </w:rPr>
              <w:t xml:space="preserve"> </w:t>
            </w:r>
            <w:r>
              <w:rPr>
                <w:sz w:val="20"/>
                <w:u w:val="single"/>
              </w:rPr>
              <w:tab/>
            </w:r>
            <w:r>
              <w:rPr>
                <w:sz w:val="20"/>
              </w:rPr>
              <w:t>%）</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7" w:hRule="atLeast"/>
        </w:trPr>
        <w:tc>
          <w:tcPr>
            <w:tcW w:w="1020" w:type="dxa"/>
            <w:tcBorders>
              <w:top w:val="single" w:color="000000" w:sz="6" w:space="0"/>
              <w:bottom w:val="single" w:color="000000" w:sz="6" w:space="0"/>
              <w:right w:val="single" w:color="000000" w:sz="6" w:space="0"/>
            </w:tcBorders>
            <w:noWrap w:val="0"/>
            <w:vAlign w:val="top"/>
          </w:tcPr>
          <w:p>
            <w:pPr>
              <w:pStyle w:val="11"/>
              <w:spacing w:before="130"/>
              <w:ind w:left="106"/>
              <w:rPr>
                <w:sz w:val="20"/>
              </w:rPr>
            </w:pPr>
            <w:r>
              <w:rPr>
                <w:sz w:val="20"/>
              </w:rPr>
              <w:t>33</w:t>
            </w:r>
          </w:p>
        </w:tc>
        <w:tc>
          <w:tcPr>
            <w:tcW w:w="8752" w:type="dxa"/>
            <w:tcBorders>
              <w:top w:val="single" w:color="000000" w:sz="6" w:space="0"/>
              <w:left w:val="single" w:color="000000" w:sz="6" w:space="0"/>
              <w:bottom w:val="single" w:color="000000" w:sz="6" w:space="0"/>
              <w:right w:val="single" w:color="000000" w:sz="6" w:space="0"/>
            </w:tcBorders>
            <w:noWrap w:val="0"/>
            <w:vAlign w:val="top"/>
          </w:tcPr>
          <w:p>
            <w:pPr>
              <w:pStyle w:val="11"/>
              <w:ind w:left="113"/>
              <w:rPr>
                <w:sz w:val="20"/>
              </w:rPr>
            </w:pPr>
            <w:r>
              <w:rPr>
                <w:sz w:val="20"/>
              </w:rPr>
              <w:t>三十三、民族自治地方的自治机关对本民族自治地方的企业应缴纳的企业所得税中属于地方分享的</w:t>
            </w:r>
          </w:p>
          <w:p>
            <w:pPr>
              <w:pStyle w:val="11"/>
              <w:tabs>
                <w:tab w:val="left" w:pos="2645"/>
                <w:tab w:val="left" w:pos="3245"/>
                <w:tab w:val="left" w:pos="4947"/>
              </w:tabs>
              <w:spacing w:before="3" w:line="238" w:lineRule="exact"/>
              <w:ind w:left="845"/>
              <w:rPr>
                <w:sz w:val="20"/>
              </w:rPr>
            </w:pPr>
            <w:r>
              <w:rPr>
                <w:sz w:val="20"/>
              </w:rPr>
              <w:t>部分减征或免征（</w:t>
            </w:r>
            <w:r>
              <w:rPr>
                <w:sz w:val="20"/>
              </w:rPr>
              <w:tab/>
            </w:r>
            <w:r>
              <w:rPr>
                <w:sz w:val="20"/>
              </w:rPr>
              <w:t>免征</w:t>
            </w:r>
            <w:r>
              <w:rPr>
                <w:sz w:val="20"/>
              </w:rPr>
              <w:tab/>
            </w:r>
            <w:r>
              <w:rPr>
                <w:sz w:val="20"/>
              </w:rPr>
              <w:t>减征:减征幅度</w:t>
            </w:r>
            <w:r>
              <w:rPr>
                <w:sz w:val="20"/>
                <w:u w:val="single"/>
              </w:rPr>
              <w:t xml:space="preserve"> </w:t>
            </w:r>
            <w:r>
              <w:rPr>
                <w:sz w:val="20"/>
                <w:u w:val="single"/>
              </w:rPr>
              <w:tab/>
            </w:r>
            <w:r>
              <w:rPr>
                <w:sz w:val="20"/>
              </w:rPr>
              <w:t>%）</w:t>
            </w:r>
          </w:p>
        </w:tc>
        <w:tc>
          <w:tcPr>
            <w:tcW w:w="770" w:type="dxa"/>
            <w:tcBorders>
              <w:top w:val="single" w:color="000000" w:sz="6" w:space="0"/>
              <w:left w:val="single" w:color="000000" w:sz="6" w:space="0"/>
              <w:bottom w:val="single" w:color="000000" w:sz="6" w:space="0"/>
            </w:tcBorders>
            <w:noWrap w:val="0"/>
            <w:vAlign w:val="top"/>
          </w:tcPr>
          <w:p>
            <w:pPr>
              <w:pStyle w:val="11"/>
              <w:rPr>
                <w:rFonts w:ascii="Times New Roman"/>
                <w:sz w:val="18"/>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20" w:type="dxa"/>
            <w:tcBorders>
              <w:top w:val="single" w:color="000000" w:sz="6" w:space="0"/>
              <w:right w:val="single" w:color="000000" w:sz="6" w:space="0"/>
            </w:tcBorders>
            <w:noWrap w:val="0"/>
            <w:vAlign w:val="top"/>
          </w:tcPr>
          <w:p>
            <w:pPr>
              <w:pStyle w:val="11"/>
              <w:spacing w:before="99"/>
              <w:ind w:left="106"/>
              <w:rPr>
                <w:sz w:val="20"/>
              </w:rPr>
            </w:pPr>
            <w:r>
              <w:rPr>
                <w:sz w:val="20"/>
              </w:rPr>
              <w:t>34</w:t>
            </w:r>
          </w:p>
        </w:tc>
        <w:tc>
          <w:tcPr>
            <w:tcW w:w="8752" w:type="dxa"/>
            <w:tcBorders>
              <w:top w:val="single" w:color="000000" w:sz="6" w:space="0"/>
              <w:left w:val="single" w:color="000000" w:sz="6" w:space="0"/>
              <w:right w:val="single" w:color="000000" w:sz="6" w:space="0"/>
            </w:tcBorders>
            <w:noWrap w:val="0"/>
            <w:vAlign w:val="top"/>
          </w:tcPr>
          <w:p>
            <w:pPr>
              <w:pStyle w:val="11"/>
              <w:spacing w:before="99"/>
              <w:ind w:left="113"/>
              <w:rPr>
                <w:sz w:val="20"/>
              </w:rPr>
            </w:pPr>
            <w:r>
              <w:rPr>
                <w:sz w:val="20"/>
              </w:rPr>
              <w:t>合计（1+2+…+28-29+30+31+32+33）</w:t>
            </w:r>
          </w:p>
        </w:tc>
        <w:tc>
          <w:tcPr>
            <w:tcW w:w="770" w:type="dxa"/>
            <w:tcBorders>
              <w:top w:val="single" w:color="000000" w:sz="6" w:space="0"/>
              <w:left w:val="single" w:color="000000" w:sz="6" w:space="0"/>
            </w:tcBorders>
            <w:noWrap w:val="0"/>
            <w:vAlign w:val="top"/>
          </w:tcPr>
          <w:p>
            <w:pPr>
              <w:pStyle w:val="11"/>
              <w:rPr>
                <w:rFonts w:ascii="Times New Roman"/>
                <w:sz w:val="18"/>
              </w:rPr>
            </w:pPr>
          </w:p>
        </w:tc>
      </w:tr>
    </w:tbl>
    <w:p>
      <w:pPr>
        <w:bidi w:val="0"/>
        <w:jc w:val="both"/>
        <w:rPr>
          <w:rFonts w:hint="eastAsia" w:ascii="微软雅黑" w:hAnsi="微软雅黑" w:eastAsia="微软雅黑" w:cs="微软雅黑"/>
          <w:b/>
          <w:bCs/>
          <w:sz w:val="36"/>
          <w:szCs w:val="36"/>
          <w:lang w:eastAsia="zh-CN"/>
        </w:rPr>
      </w:pPr>
    </w:p>
    <w:p>
      <w:pPr>
        <w:pStyle w:val="4"/>
        <w:bidi w:val="0"/>
        <w:rPr>
          <w:rFonts w:hint="eastAsia"/>
          <w:lang w:eastAsia="zh-CN"/>
        </w:rPr>
      </w:pPr>
      <w:r>
        <w:rPr>
          <w:rFonts w:hint="eastAsia"/>
          <w:lang w:eastAsia="zh-CN"/>
        </w:rPr>
        <w:t>A107040</w:t>
      </w:r>
      <w:r>
        <w:rPr>
          <w:rFonts w:hint="eastAsia"/>
          <w:lang w:eastAsia="zh-CN"/>
        </w:rPr>
        <w:tab/>
      </w:r>
      <w:r>
        <w:rPr>
          <w:rFonts w:hint="eastAsia"/>
          <w:lang w:eastAsia="zh-CN"/>
        </w:rPr>
        <w:t>《减免所得税优惠明细表》填报说明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本表适用于享受减免所得税优惠政策的纳税人填报。纳税人根据税法和相关税收政策规定，填报本年享受减免所得税优惠情况。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 1 行“一、符合条件的小型微利企业减免所得税”：填报享受小型微利企业普惠性所得税减免政策减免企业所得税的金额。本行填报根据本期《中华人民共和国企业所得税年度纳税申报表（A 类）》（A100000）第 23 行计算的减免企业所得税的本年金额。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 2 行“二、国家需要重点扶持的高新技术企业减按 15%的税率征收企业所得税”：根据税法、《国家税务总局关于实施高新技术企业所得税优惠政策有关问题的公告》（2017 年第 24 号）文件等规定, 国家需要重点扶持的高新技术企业减按 15%的税率征收企业所得税。本行填报表 A107041 第 31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 3 行“三、经济特区和上海浦东新区新设立的高新技术企业在区内取得的所得定期减免企业所得税”：根据《国务院关于经济特区和上海浦东新区新设立高新技术企业实行过渡性税收优惠的通知》（国发〔2007〕40 号）等规定，经济特区和上海浦东新区内，在 2008 年 1 月 1 日（含）之后完成登记注册的国家需要重点扶持的高新技术企业，在经济特区和上海浦东新区内取得的所得，自取得第一笔生产经营收入所属纳税年度起，第一年至第二年免征企业所得税，第三年至第五年按照 25%法定税率减半征收企业所得税。本行填报表 A107041 第 32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 4 行“四、受灾地区农村信用社免征企业所得税”：填报受灾地区农村信用社按相关规定免征企业所得税的金额。本行不得填报。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 5 行“五、动漫企业自主开发、生产动漫产品定期减免企业所得税”：根据《财政部 国家税务总局关于扶持动漫产业发展有关税收政策问题的通知》（财税〔2009〕65 号）、《文化部 财政部 国家税务总局关于印发〈动漫企业认定管理办法（试行）〉的通知》（文市发〔2008〕51 号）、《文化部 财政部 国家税务总局关于实施〈动漫企业认定管理办法（试行）〉有关问题的通知》（文产发〔2009〕18 号） 等规定，经认定的动漫企业自主开发、生产动漫产品，享受软件企业所得税优惠政策。自获利年度起，第一年至第二年免征所得税，第三年至第五年按照 25%的法定税率减半征收所得税。本行填报根据表 A100000 第 23 行计算的免征、减征企业所得税金额。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 6 行“六、线宽小于 0、8 微米（含）的集成电路生产企业减免企业所得税”：根据《财政部 国家税务总局关于进一步鼓励软件产业和集成电路产业发展企业所得税政策的通知》（财税〔2012〕27 号）、《财政部 国家税务总局 发展改革委 工业和信息化部关于软件和集成电路产业企业所得税优惠政策有关问题的通知》（财税〔2016〕49 号）、《财政部 税务总局 国家发展改革委 工业和信息化部关于集成电路生产企业有关企业所得税政策问题的通知》（财税〔2018〕27 号）、《财政部 税务总局 发展改革委 工业和信息化部关于促进集成电路和软件产业高质量发展企业所得税政策的公告》（2020 年第 45 号）等规定，2017 年 12 月 31 日前设立的集成电路线宽小于 0、8 微米（含）的集成电路生产企业，自获利年度起第一年至第二年免征企业所得税，第三年至第五年按照 25%的法定税率减半征收企业所得税，符合上述政策条件且在 2019 年（含）之前已经进入优惠期的企业，2020 年（含）起可按政策规定享受至期满为止。A000000 表“208 软件、集成电路企业类型”填报“110 集成电路生产企业（线宽小于0、8 微米（含）的企业）”、A107042 表选择“延续适用原有优惠政策” 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 7 行“七、线宽小于 0、25 微米的集成电路生产企业减按 15%税率征收企业所得税”：根据《财政部 税务总局 发展改革委 工业和信息化部关于促进集成电路和软件产业高质量发展企业所得税政策的公告》（2020 年第 45 号）等规定，该项政策已停止执行，本行不得填报。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 8 行“八、投资额超过 80 亿元的集成电路生产企业减按 15%税率征收企业所得税”：根据《财政部 税务总局 发展改革委 工业和信息化部关于促进集成电路和软件产业高质量发展企业所得税政策的公告》（2020 年第 45 号）等规定，该项政策已停止执行，本行不得填报。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 9 行“九、线宽小于 0、25 微米的集成电路生产企业减免企业所得税”：根据《财政部 国家税务总局关于进一步鼓励软件产业和集成电路产业发展企业所得税政策的通知》（财税〔2012〕27 号）、《财政部 国家税务总局 发展改革委 工业和信息化部关于软件和集成电路产业企业所得税优惠政策有关问题的通知》（财税〔2016〕49 号）、《财政部 税务总局 国家发展改革委 工业和信息化部关于集成电路生产企业有关企业所得税政策问题的通知》（财税〔2018〕27 号）、《财政部 税务总局 发展改革委 工业和信息化部关于促进集成电路和软件产业高质量发展企业所得税政策的公告》（2020 年第 45 号）等规定，2017 年 12 月 31 日前设立的线宽小于 0、25 微米的集成电路生产企业，经营期在 15 年以上的，自获利年度起计算优惠期，第一年至第五年免征企业所得税，第六年至第十年按照 25%的法定税率减半征收企业所得税。符合上述政策条件且在 2019 年（含）之前已经进入优惠期的企业，2020 年（含）起可按政策规定享受至期满为止。A000000 表“208 软件、集成电路企业类型”填报“120 集成电路生产企业（线宽小于 0、25 微米的企业）”且 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 10 行：“十、投资额超过 80 亿元的集成电路生产企业减免企业所得税”： 根据《财政部 国家税务总局关于进一步鼓励软件产业和集成电路产业发展企业所得税政策的通知》（财税〔2012〕27 号）、《财政部 国家税务总局 发展改革委 工业和信息化部关于软件和集成电路产业企业所得税优惠政策有关问题的通知》（财税〔2016〕49 号）、《财政部 税务总局 国家发展改革委 工业和信息化部关于集成电路生产企业有关企业所得税政策问题的通知》（财税〔2018〕27 号）、《财政部 税务总局 发展改革委 工业和信息化部关于促进集成电路和软件产业高质量发展企业所得税政策的公告》（2020 年第 45 号）等规定，2017 年 12 月 31 日前设立的投资额超过 80 亿元的集成电路生产企业，经营期在 15 年以上的，自获利年度起计算优惠期，第一年至第五年免征企业所得税，第六年至第十年按照 25%的法定税率减半征收企业所得税。符合上述政策条件且在 2019 年（含）之前已经进入优惠期的企业，2020 年（含）起可按政策规定享受至期满为止。表 A000000“208 软件、集成电路企业类型”填报“130 集成电路生产企业（投资额超过 80 亿元的企业）”且 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 11 行：“十一、新办集成电路设计企业减免企业所得税”：根据《财政部 国家税务总局关于进一步鼓励软件产业和集成电路产业发展企业所得税政策的通知》（财税〔2012〕27 号）、《财政部 国家税务总局 发展改革委 工业和信息化部关于软件和集成电路产业企业所得税优惠政策有关问题的通知》（财税〔2016〕49 号）、《财政部 税务总局关于集成电路设计和软件产业企业所得税政策的公告》（2019 年第 68 号）、《财政部 税务总局 发展改革委 工业和信息化部关于促进集成电路和软件产业高质量发展企业所得税政策的公告》（2020 年第 45 号）等规定，我国境内新办的集成电路设计企业，自获利年度起计算优惠期，第一年至第二年免征企业所得税，第三年至第五年按照 25%的法定税率减半征收企业所得税。符合上述政策条件且在 2019 年（含） 之前已经进入优惠期的企业，2020 年（含）起可按政策规定享受至期满为止。A000000 表“208 软件、集成电路企业类型”填报“210 集成电路设计企业（新办符合条件的集成电路设计企业\国家鼓励的集成电路设计企业” ，且 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 12 行“十二、国家规划布局内集成电路设计企业可减按 10%的税率征收企业所得税”：根据《财政部 税务总局 发展改革委 工业和信息化部关于促进集成电路和软件产业高质量发展企业所得税政策的公告》（2020 年第 45 号）等规定，该项政策已停止执行，本行不得填报。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 13 行“十三、符合条件的软件企业减免企业所得税”：根据《财政部 国家税务总局关于进一步鼓励软件产业和集成电路产业发展企业所得税政策的通知》（财税〔2012〕27 号）、《财政部 国家税务总局 发展改革委 工业和信息化部关于软件和集成电路产业企业所得税优惠政策有关问题的通知》（财税〔2016〕49 号）、《财政部 税务总局关于集成电路设计和软件产业企业所得税政策的公告》（2019 年第 68 号）、《财政部 税务总局关于集成电路设计企业和软件企业 2019 年度企业所得税汇算清缴适用政策的公告》（2020 年第 29 号）、《财政部 税务总局 发展改革委 工业和信息化部关于促进集成电路和软件产业高质量发展企业所得税政策的公告》（2020 年第 45 号）等规定，我国境内新办的符合条件的软件企业，自获利年度起计算优惠期，第一年至第二年免征企业所得税，第三年至第五年按照 25%的法定税率减半征收企业所得税。符合上述政策条件且在 2019 年（含）之前已经进入优惠期的企业，2020 年（含） 起可按政策规定享受至期满为止。A000000 表“208 软件、集成电路企业类型”填报“311 软件企业（一般软件企业—符合条件的软件企业\国家鼓励的软件企业）”“321 软件企业（嵌入式或信息系统集成软件—符合条件的软件企业\国家鼓励的软件企业）”， 且 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 14 行“十四、国家规划布局内重点软件企业可减按 10%的税率征收企业所得税”：根据《财政部 税务总局 发展改革委 工业和信息化部关于促进集成电路和软件产业高质量发展企业所得税政策的公告》（2020 年第 45 号）等规定，该项政策已停止执行，本行不得填报。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 15 行“十五、符合条件的集成电路封装测试企业定期减免企业所得税”： 根据《财政部 国家税务总局 发展改革委 工业和信息化部关于进一步鼓励集成电路产业发展企业所得税政策的通知》（财税〔2015〕6 号）、《财政部 税务总局 发展改革委 工业和信息化部关于促进集成电路和软件产业高质量发展企业所得税政策的公告》（2020 年第 45 号）规定，符合原有政策条件的集成电路封装、测试企业，在 2017 年（含 2017 年）前实现获利的，自获利年度起第一年至第二年免征企业所得税，第三年至第五年按照 25%的法定税率减半征收企业所得税；2017 年前未实现获利的，自 2017 年起计算优惠期。符合上述政策条件且在已经进入优惠期的企业，2020 年（含）起可按政策规定享受至期满为止。A000000 表“208 软件、集成电路企业类型”填报“400 集成电路封装、测试（含封装测试）企业”，A107042 表选择“延续适用原有优惠政策” 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 16 行“十六、符合条件的集成电路关键专用材料生产企业、集成电路专用设备生产企业定期减免企业所得税”：根据《财政部 国家税务总局 发展改革委 工业和信息化部关于进一步鼓励集成电路产业发展企业所得税政策的通知》（财税〔2015〕6 号）、《财政部 税务总局 发展改革委 工业和信息化部关于促进集成电路和软件产业高质量发展企业所得税政策的公告》（2020 年第 45 号）规定，符合条件的集成电路关键专用材料生产企业、集成电路专用设备生产企业，在 2017 年（含 2017 年）前实现获利的，自获利年度起第一年至第二年免征企业所得税，第三年至第五年按照 25% 的法定税率减半征收企业所得税；2017 年前未实现获利的，自 2017 年起计算优惠期。符合上述政策条件且在已经进入优惠期的企业，2020 年（含）起可按政策规定享受至期满为止。A000000 表“208 软件、集成电路企业类型”填报“500 集成电路材料（含关键专用材料）”“600 集成电路装备（含专用设备）企业”，A107042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17、第 17 行“十七、经营性文化事业单位转制为企业的免征企业所得税”：根据《财政部 税务总局 中央宣传部关于继续实施文化体制改革中经营性文化事业单位转制为企业若干税收政策的通知》（财税〔2019〕16 号）等规定，从事新闻出版、广播影视和文化艺术的经营性文化事业单位转制为企业的，自转制注册之日起五年内免征企业所得税。2018 年 12 月 31 日之前已完成转制的企业，自 2019 年 1 月 1 日起可继续免征五年企业所得税。本行填报根据表 A100000 第 23 行计算的免征企业所得税金额。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 18 行“十八、符合条件的生产和装配伤残人员专门用品企业免征企业所得税”：根据《财政部 国家税务总局 民政部关于生产和装配伤残人员专门用品企业免征企业所得税的通知》（财税〔2016〕111 号）等规定，符合条件的生产和装配伤残人员专门用品的企业免征企业所得税。本行填报根据表 A100000 第 23 行计算的免征企业所得税金额。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 19 行“十九、技术先进型服务企业（服务外包类）减按 15%的税率征收企业所得税”：根据《财政部 税务总局 商务部 科技部 国家发展改革委关于将技术先进型服务企业所得税政策推广至全国实施的通知》（财税〔2017〕79 号）等规定，对经认定的技术先进型服务企业，减按 15%的税率征收企业所得税。表 A000000“206 技术先进型服务企业类型”填报“110 信息技术外包服务（ITO）”“120 技术性业务流程外包服务（BPO）”“130 技术性知识流程外包服务（KPO）”的纳税人可以填报本项， 本行填报根据表 A100000 第 23 行计算的减征企业所得税金额。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 20 行“二十、技术先进型服务企业（服务贸易类）减按 15%的税率征收企业所得税”：根据《财政部 税务总局 商务部 科技部 国家发展改革委关于将服务贸易创新发展试点地区技术先进型服务企业所得税政策推广至全国实施的通知》（财税〔2018〕44 号）等规定，对经认定的技术先进型服务企业（服务贸易类），减按 15% 的税率征收企业所得税。表 A000000“206 技术先进型服务企业类型”填报“210 计算机和信息服务”“220 研究开发和技术服务”“230 文化技术服务”“240 中医药医疗服务”的纳税人可以填报本项，本行填报根据表 A100000 第 23 行计算的减征企业所得税金额。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 21 行“二十一、设在西部地区的鼓励类产业企业减按 15%的税率征收企业所得税(主营业务收入占比   %)”：根据《财政部 海关总署 国家税务总局关于深入实施西部大开发战略有关税收政策问题的通知》（财税〔2011〕58 号）、《国家税务总局关于深入实施西部大开发战略有关企业所得税问题的公告》（2012 年第 12 号）、《财政部 海关总署 国家税务总局关于赣州市执行西部大开发税收政策问题的通知》（财税〔2013〕4 号）、《西部地区鼓励类产业目录》(中华人民共和国国家发展和改革委员会令第 15 号)、《国家税务总局关于执行&lt;西部地区鼓励类产业目录&gt;有关企业所得税问题的公告》（2015 年第 14 号）、《财政部 税务总局 国家发展改革委关于延续西部大开发企业所得税政策的公告》（2020 年第 23 号）等规定，对设在西部地区的鼓励类产业企业减按 15%的税率征收企业所得税；对设在赣州市的鼓励类产业的内资和外商投资企业减按 15%税率征收企业所得税。本行填报根据表A100000 第 23 行计算的减征企业所得税金额。跨地区经营汇总纳税企业总机构和分支机构因享受该项优惠政策适用不同税率的，本行填报按照《国家税务总局关于印发〈跨地区经营汇总纳税企业所得税征收管理办法〉的公告》（2012 年第 57 号）第十八条规定计算的减免税额。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纳税人填报该行次时，需填报符合《西部地区鼓励类产业目录》的主营业务收入占比，保留至小数点后四位，并按百分数填报。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 22 行“二十二、新疆困难地区新办企业定期减免企业所得税”：根据《财政部 国家税务总局关于新疆困难地区新办企业所得税优惠政策的通知》（财税〔2011〕53 号）、《财政部 国家税务总局 国家发展改革委 工业和信息化部关于完善新疆困难地区重点鼓励发展产业企业所得税优惠目录的通知》（财税〔2016〕85 号）等规定， 对在新疆困难地区新办的属于《新疆困难地区重点鼓励发展产业企业所得税优惠目录》范围内的企业，自取得第一笔生产经营收入所属纳税年度起，第一年至第二年免征企业所得税，第三年至第五年减半征收企业所得税。本行填报根据表 A100000 第 23 行计算的免征、减征企业所得税金额。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 23 行“二十三、新疆喀什、霍尔果斯特殊经济开发区新办企业定期免征企业所得税”：根据《财政部 国家税务总局关于新疆喀什霍尔果斯两个特殊经济开发区企业所得税优惠政策的通知》（财税〔2011〕112 号）、《财政部 国家税务总局 国家发展改革委 工业和信息化部关于完善新疆困难地区重点鼓励发展产业企业所得税优惠目录的通知》（财税〔2016〕85 号）等规定，对在新疆喀什、霍尔果斯两个特殊经济开发区内新办的属于《新疆困难地区重点鼓励发展产业企业所得税优惠目录》范围内的企业，自取得第一笔生产经营收入所属纳税年度起，五年内免征企业所得税。本行填报根据表 A100000 第 23 行计算的免征企业所得税金额。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 24 行“二十四、广东横琴、福建平潭、深圳前海等地区的鼓励类产业企业减按 15%税率征收企业所得税”：根据《财政部 国家税务总局关于广东横琴新区、福建平潭综合实验区、深圳前海深港现代化服务业合作区企业所得税优惠政策及优惠目录的通知》（财税〔2014〕26 号）、《财政部 税务总局关于平潭综合实验区企业所得税优惠目录增列有关旅游产业项目的通知》（财税〔2017〕75 号）、《财政部 税务总局关于横琴新区企业所得税优惠目录增列旅游产业项目的通知》（财税〔2019〕63 号） 等规定，对设在广东横琴新区、福建平潭综合实验区和深圳前海深港现代服务业合作区的鼓励类产业企业减按 15%的税率征收企业所得税。本行填报根据表 A100000 第 23 行计算的减征企业所得税金额。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 25 行“二十五、北京冬奥组委、北京冬奥会测试赛赛事组委会免征企业所得税”：根据《财政部 税务总局 海关总署关于北京 2022 年冬奥会和冬残奥会税收政策的通知》（财税〔2017〕60 号）等规定，为支持发展奥林匹克运动，确保北京 2022 年冬奥会和冬残奥会顺利举办，对北京冬奥组委免征应缴纳的企业所得税,北京冬奥会测试赛赛事组委会取得的收入及发生的涉税支出比照执行北京冬奥组委的税收政策。本行填报北京冬奥组委、北京冬奥会测试赛赛事组委会根据表 A100000 第 23 行计算的免征企业所得税金额。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 26 行“二十六、线宽小于 130 纳米（含）的集成电路生产企业减免企业所得税”：根据《财政部 税务总局 国家发展改革委 工业和信息化部关于集成电路生产企业有关企业所得税政策问题的通知》（财税〔2018〕27 号）、《财政部 税务总局 发展改革委 工业和信息化部关于促进集成电路和软件产业高质量发展企业所得税政策的公告》（2020 年第 45 号）规定，集成电路线宽小于 130 纳米（含），且经营期在10 年以上的集成电路生产企业，自企业获利年度起，第一年至第二年免征企业所得税，第三年至第五年按照25%的法定税率减半征收企业所得税。符合上述政策条件且在2019 年（含）之前已经进入优惠期的企业，2020 年（含）起可按政策规定享受至期满为止。A000000 表“208 软件、集成电路企业类型”填报“140 集成电路生产企业（线宽小于130 纳米的企业）”，A107042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27、第 27 行“二十七、线宽小于 65 纳米（含）或投资额超过 150 亿元的集成电路生产企业减免企业所得税”：根据《财政部 税务总局 国家发展改革委 工业和信息化部关于集成电路生产企业有关企业所得税政策问题的通知》（财税〔2018〕27 号）、《财政部 税务总局 发展改革委 工业和信息化部关于促进集成电路和软件产业高质量发展企业所得税政策的公告》（2020 年第 45 号）规定，集成电路线宽小于 65 纳米（含）或投资额超过 150 亿元，且经营期在 15 年以上的集成电路生产企业，自企业获利年度起，第一年至第五年免征企业所得税，第六年至第十年按照 25%的法定税率减半征收企业所得税。符合上述政策条件且在 2019 年（含）之前已经进入优惠期的企业， 2020 年（含）起可按政策规定享受至期满为止。表 A000000“208 软件、集成电路企业类型”填报“150 集成电路生产企业（线宽小于 65 纳米或投资额超过 150 亿元的企业）”的、A107042 表选择“延续适用原有优惠政策”的纳税人适用本项，本行填报表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28、第 28 行“ 二十八、其他” ： 根据相关行次计算结果填报。本行＝ 第28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3+28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5+28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6 行，各行按照以下要求填报：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 行“（一）从事污染防治的第三方企业减按 15%的税率征收企业所得税”： 根据《财政部 税务总局 国家发展改革委 生态环境部关于从事污染防治的第三方企业所得税政策问题的公告》（2019 年第 60 号）规定，对符合条件的从事污染防治的第三方企业减按 15%的税率征收企业所得税。本行填报根据表 A100000 第 23 行计算的减征企业所得税金额。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行“（二）上海自贸试验区临港新片区的重点企业减按15%的税率征收企业所得税”：根据《财政部 国家税务总局关于中国（上海）自贸试验区临港新片区重点产业企业所得税政策的通知》（财税〔2020〕38 号）规定，对新片区内从事集成电路、人工智能、生物医药、民用航空等关键领域核心环节相关产品（技术）业务，并开展实质性生产或研发活动的符合条件的法人企业享受的减免优惠，本行填报根据表A100000 第 23 行计算的减征企业所得税金额。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3 行“（三）海南自由贸易港鼓励类企业减按 15%税率征收企业所得税”： 根据《财政部 税务总局关于海南自由贸易港企业所得税优惠政策的通知》（财税〔2020〕31 号）规定，对设在海南自由贸易港地区，符合鼓励类产业企业条件，减按 15%的税率征收企业所得税，本行填报根据表 A100000 第 23 行计算的减征企业所得税金额。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 行“（四）国家鼓励的集成电路和软件企业减免企业所得税政策”：根据《财政部 税务总局 发展改革委 工业和信息化部关于促进集成电路和软件产业高质量发展企业所得税政策的公告》（2020 年第 45 号）规定，国家鼓励的集成电路和软件企业可享受一系列企业所得税减免政策，本项为汇总项，纳税人应根据企业享受的具体政策情况在下列项目中选择一项填报：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 行“1、线宽小于 28 纳米（含）集成电路生产企业减免企业所得税”： 根据《财政部 税务总局 发展改革委 工业和信息化部关于促进集成电路和软件产业高质量发展企业所得税政策的公告》（2020 年第 45 号），国家鼓励的集成电路线宽小于28 纳米（含）的企业，自获利年度起，第一年至第十年免征企业所得税。表 A000000“208 软件、集成电路企业类型”填报“160 集成电路生产企业（线宽小于 28 纳米的企业）”，且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行“2、线宽小于 65 纳米（含）集成电路生产企业减免企业所得税”： 根据《财政部 税务总局 发展改革委 工业和信息化部关于促进集成电路和软件产业高质量发展企业所得税政策的公告》（2020 年第 45 号），国家鼓励的集成电路线宽小于65 纳米（含）的企业，自获利年度起，第一年至第五年免征企业所得税，第六年至第十年按照 25%的法定税率减半征收企业所得税。表 A000000“208 软件、集成电路企业类型”填报“150 集成电路生产企业（线宽小于 65 纳米或投资额超过 150 亿元的企业）”，且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3 行“3、线宽小于 130 纳米（含）集成电路生产企业减免企业所得税”： 根据《财政部 税务总局 发展改革委 工业和信息化部关于促进集成电路和软件产业高质量发展企业所得税政策的公告》（2020 年第 45 号），国家鼓励的集成电路线宽小于130 纳米（含）的企业，自获利年度起，第一年至第二年免征企业所得税，第三年至第五年按照 25%的法定税率减半征收企业所得税。表 A000000“208 软件、集成电路企业类型”填报“140 集成电路生产企业（线宽小于 130 纳米的企业）”，且 A107042 表选择“适用新出台优惠政策”的纳税人填报本项，本行填报表 A107042 第 11 行金额。第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 行“4、集成电路设计企业减免企业所得税”：根据《财政部 税务总局 发展改革委 工业和信息化部关于促进集成电路和软件产业高质量发展企业所得税政策的公告》（2020 年第 45 号），国家鼓励的集成电路设计企业，自获利年度起，第一年至第二年免征企业所得税，第三年至第五年按照 25%的法定税率减半征收企业所得税。表 A000000“208 软件、集成电路企业类型”填报“210 集成电路设计企业（新办符合条件的集成电路设计企业\国家鼓励的集成电路设计企业）”，且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5 行“5、重点集成电路设计企业减免企业所得税”：根据《财政部 税务总局 发展改革委 工业和信息化部关于促进集成电路和软件产业高质量发展企业所得税政策的公告》（2020 年第 45 号），国家鼓励的重点集成电路设计企业，自获利年度起，享受五年免征企业所得税政策后，接续年度减按 10%税率征收企业所得税。表A000000“208 软件、集成电路企业类型”填报“220 集成电路设计企业（符合规模条件的重点集成电路设计企业）”“230 集成电路设计企业（符合领域条件的重点集成电路设计企业）”，且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6 行“6、集成电路装备企业减免企业所得税”：根据《财政部 税务总局 发展改革委 工业和信息化部关于促进集成电路和软件产业高质量发展企业所得税政策的公告》（2020 年第 45 号），国家鼓励的集成电路装备企业，自获利年度起，第一年至第二年免征企业所得税，第三年至第五年按照 25%的法定税率减半征收企业所得税。表 A000000“208 软件、集成电路企业类型”填报“600 集成电路装备（含专用设备） 企业”，且 A107042 表选择“适用新出台优惠政策”的纳税人填报本项，本行填报表A107042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7 行“7、集成电路材料企业减免企业所得税”：根据《财政部 税务总局 发展改革委 工业和信息化部关于促进集成电路和软件产业高质量发展企业所得税政策的公告》（2020 年第 45 号），国家鼓励的集成电路材料企业，自获利年度起，第一年至第二年免征企业所得税，第三年至第五年按照 25%的法定税率减半征收企业所得税。表 A000000“208 软件、集成电路企业类型”填报“500 集成电路材料（含关键专用材料）企业”，且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8 行“8、集成电路封装、测试企业减免企业所得税”：根据《财政部 税务总局 发展改革委 工业和信息化部关于促进集成电路和软件产业高质量发展企业所得税政策的公告》（2020 年第 45 号），国家鼓励的集成电路封装、测试企业，自获利年度起，第一年至第二年免征企业所得税，第三年至第五年按照 25%的法定税率减半征收企业所得税。表 A000000“208 软件、集成电路企业类型”填报“400 集成电路封装、测试（含封装测试）企业减免企业所得税”，且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9 行“9、软件企业减免企业所得税”：根据《财政部 税务总局 发展改革委 工业和信息化部关于促进集成电路和软件产业高质量发展企业所得税政策的公告》（2020 年第 45 号），国家鼓励的软件企业，自获利年度起，第一年至第二年免征企业所得税，第三年至第五年按照 25%的法定税率减半征收企业所得税。表 A000000“208 软件、集成电路企业类型”填报“311 软件企业（一般软件企业—符合条件的软件企业\国家鼓励的软件企业）”“321 软件企业（嵌入式或信息系统集成软件—符合条件的软件企业\国家鼓励的软件企业）”，且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10 行“10、重点软件企业减免企业所得税”：根据《财政部 税务总局 发展改革委 工业和信息化部关于促进集成电路和软件产业高质量发展企业所得税政策的公告》（2020 年第 45 号），国家鼓励的重点软件企业，自获利年度起，享受五年免征企业所得税政策后，接续年度减按 10%税率征收企业所得税。表 A000000“208 软件、集成电路企业类型”填报“312 软件企业（一般软件企业—符合规模条件的重点软件企业）”“313 软件企业（一般软件企业—符合领域条件的重点软件企业）”“314 软件企业（一般软件企业—符合出口条件的重点软件企业）”“322 软件企业（嵌入式或信息系统集成软件—符合规模条件的重点软件企业）”“323 软件企业（嵌入式或信息系统集成软件—符合领域条件的重点软件企业）”“324 软件企业（嵌入式或信息系统集成软件—符合出口条件的重点软件企业）”，且 A107042 表选择“适用新出台优惠政策”的纳税人填报本项，本行填报表 A107042 第 11 行金额。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5 行“（五）其他 1”：填报当年新出台且本表未列明的其他税收优惠政策， 需填报项目名称、减免税代码及免征、减征企业所得税金额。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6 行“（五）其他 2”：填报国务院根据税法授权制定的及本表未列明的其他税收优惠政策，需填报项目名称、减免税代码及免征、减征企业所得税金额。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29、第 29 行“二十九、项目所得额按法定税率减半征收企业所得税叠加享受减免税优惠”：纳税人同时享受优惠税率和所得项目减半情形下，在填报本表低税率优惠时，所得项目按照优惠税率减半计算多享受优惠的部分。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企业从事农林牧渔业项目、国家重点扶持的公共基础设施项目、符合条件的环境保护、节能节水项目、符合条件的技术转让、集成电路生产项目、其他专项优惠等所得额应按法定税率 25%减半征收，同时享受高新技术企业、技术先进型服务企业、集成电路线生产企业、重点软件企业和重点集成电路设计企业等优惠税率政策，由于申报表填报顺序，按优惠税率减半叠加享受减免税优惠部分，应在本行对该部分金额进行调整。本行应大于等于 0 且小于等于第 1+2+…+20+22+…+28 行的值。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计算公式：本行＝减半项目所得额×50%×（25%-优惠税率）。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30、第 30 行“三十、支持和促进重点群体创业就业企业限额减征企业所得税”： 根据《财政部 税务总局 人力资源社会保障部 国务院扶贫办关于进一步支持和促进重点群体创业就业有关税收政策的通知》（财税〔2019〕22 号）等规定，企业招用建档立卡贫困人口，以及在人力资源社会保障部门公共就业服务机构登记失业半年以上且持《就业创业证》或《就业失业登记证》（注明“企业吸纳税收政策”）的人员，与其签订 1 年以上期限劳动合同并依法缴纳社会保险费的，自签订劳动合同并缴纳社会保险当月起，在 3 年内按实际招用人数予以定额依次扣减增值税、城市维护建设税、教育费附加、地方教育附加和企业所得税优惠。定额标准为每人每年 6000 元，最高可上浮 30%，各省、自治区、直辖市人民政府可根据本地区实际情况在此幅度内确定具体定额标准。本行填报企业纳税年度终了时实际减免的增值税、城市维护建设税、教育费附加和地方教育附加小于核定的减免税总额部分，在企业所得税汇算清缴时扣减的企业所得税金额。当年扣减不完的，不再结转以后年度扣减。本行填报第 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行的合计金额。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企业招用建档立卡贫困人口就业扣减企业所得税、企业招用登记失业半年以上人员就业扣减企业所得税，分别填报第 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 行、第 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31、第 31 行“三十一、扶持自主就业退役士兵创业就业企业限额减征企业所得税”：根据《财政部 税务总局 退役军人部关于进一步扶持自主就业退役士兵创业就业有关税收政策的通知》（财税〔2019〕21 号）等规定，企业招用自主就业退役士兵，与其签订 1 年以上期限劳动合同并依法缴纳社会保险费的，自签订劳动合同并缴纳社会保险当月起，在 3 年内按实际招用人数予以定额依次扣减增值税、城市维护建设税、教育费附加、地方教育附加和企业所得税优惠。定额标准为每人每年 6000 元，最高可上浮 50%，各省、自治区、直辖市人民政府可根据本地区实际情况在此幅度内确定具体定额标准。本行填报企业纳税年度终了时实际减免的增值税、城市维护建设税、教育费附加和地方教育附加小于核定的减免税总额部分，在企业所得税汇算清缴时扣减的企业所得税金额。当年扣减不完的，不再结转以后年度扣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32、第 32 行“三十二、符合条件的公司型创投企业按照企业年末个人股东持股比例减免企业所得税（年末个人股东持股比例%）”：根据《财政部 税务总局 发展改革委 证监会关于中关村国家自主创新示范区公司型创业投资企业有关企业所得税试点政策的通知》（财税〔2020〕63 号）规定，在中关村国家自主创新示范区试行公司型创投企业所得税优惠政策，符合条件的公司型创投企业按照企业年末个人股东持股比例减免企业所得税。本行填报企业所得税免征额。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纳税人填报该行次时，需填报符合条件的年末个人股东持股比例，保留至小数点后四位，并按百分数填报。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33、第 33 行“三十三、民族自治地方的自治机关对本民族自治地方的企业应缴纳的企业所得税中属于地方分享的部分减征或免征（ 免征</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减征:减征幅度%）”： 根据税法、《中华人民共和国民族区域自治法》的规定，实行民族区域自治的自治区、自治州、自治县的自治机关对本民族自治地方的企业应缴纳的企业所得税中属于地方分享的部分，可以决定减征或者免征，自治州、自治县决定减征或者免征的，须报省、自治区、直辖市人民政府批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纳税人填报该行次时，根据享受政策的类型选择“免征”或“减征”填报，二者必选其一。选择“免征”是指企业所得税款地方分成 40%部分全部免征；选择“减征: 减征幅度 %”需填报“减征幅度”，减征幅度范围是 1 至 100，表示企业所得税地方分成部分减征的百分比。如，地方分享部分减半征收，则选择“减征”，并在“减征幅度”后填写“50%”。本行填报（应纳所得税额-本表以上行次优惠合计）×40%× 减征幅度的金额,以上行次不包括第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 行至第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6 行、第 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 行、第 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34、第 34 行“合计”：填报第 1+2+…+28-29+30+31+32+33 行的合计金额。二、表内、表间关系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 28 行＝第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3+28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5+28</w:t>
      </w:r>
      <w:r>
        <w:rPr>
          <w:rFonts w:hint="eastAsia" w:ascii="微软雅黑" w:hAnsi="微软雅黑" w:eastAsia="微软雅黑" w:cs="微软雅黑"/>
          <w:sz w:val="21"/>
          <w:szCs w:val="21"/>
          <w:lang w:val="en-US" w:eastAsia="zh-CN"/>
        </w:rPr>
        <w:t xml:space="preserve">. </w:t>
      </w:r>
      <w:r>
        <w:rPr>
          <w:rFonts w:hint="eastAsia" w:ascii="微软雅黑" w:hAnsi="微软雅黑" w:eastAsia="微软雅黑" w:cs="微软雅黑"/>
          <w:sz w:val="21"/>
          <w:szCs w:val="21"/>
          <w:lang w:eastAsia="zh-CN"/>
        </w:rPr>
        <w:t>6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 行＝第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10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 30 行＝第 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1+30</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 34 行＝第 1+2+…+28-29+30+31+32+33。</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 2 行＝表 A107041 第 31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 3 行＝表 A107041 第 32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3、当表 A000000“208 软件、集成电路企业类型”填报“110 集成电路生产企业（线宽小于 0、8 微米（含）的企业）”且 A107042“选择适用优惠政策”勾选“延续适用原有优惠政策”时，本表第 6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4、当表 A000000“208 软件、集成电路企业类型”填报“120 集成电路生产企业（线宽小于 0、25 微米的企业）”且 A107042“选择适用优惠政策”勾选“延续适用原有优惠政策”时，本表第 9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5、当表 A000000“208 软件、集成电路企业类型”填报“130 集成电路生产企业（投资额超过 80 亿元的企业）”且 A107042“选择适用优惠政策”勾选“延续适用原有优惠政策”时，第 10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6、当表 A000000“208 软件、集成电路企业类型”填报“210 集成电路设计企业（新办符合条件的集成电路设计企业\国家鼓励的集成电路设计企业）” 且 A107042“选择适用优惠政策”勾选“延续适用原有优惠政策”时，第 11 行＝表 A107042 第 11 行。 7、当表 A000000“208 软件、集成电路企业类型”填报“311 软件企业（一般软件企业—符合条件的软件企业\国家鼓励的软件企业）”“321 软件企业（嵌入式或信息系统集成软件—符合条件的软件企业\国家鼓励的软件企业）” 且 A107042“选择适用优惠政策”勾选“延续适用原有优惠政策”时，第 13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8、当表 A000000“208 软件、集成电路企业类型”填报“400 集成电路封装、测试（含封装测试）企业” 且 A107042“选择适用优惠政策”勾选“延续适用原有优惠政策”时，第 15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9、当表 A000000“208 软件、集成电路企业类型”填报“500 集成电路材料（含关键专用材料）企业”“600 集成电路装备（含专用设备）企业” 且 A107042“选择适用优惠政策”勾选“延续适用原有优惠政策”时，，第 16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10、当表 A000000“208 软件、集成电路企业类型”填报“140 集成电路生产企业（线宽小于 130 纳米的企业）” 且 A107042“选择适用优惠政策”勾选“延续适用原有优惠政策”时，第 26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11、当表 A000000“208 软件、集成电路企业类型”填报“150 集成电路生产企业（线宽小于 65 纳米或投资额超过 150 亿元的企业）” 且 A107042“选择适用优惠政策”勾选“延续适用原有优惠政策”时，第 27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12、当表 A000000“208 软件、集成电路企业类型”填报“160 集成电路生产企业（线宽小于 28 纳米的企业）”且 A107042“选择适用优惠政策”勾选“适用新出台优惠政策”时，第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13、当表 A000000“208 软件、集成电路企业类型”填报“150 集成电路生产企业（线宽小于 65 纳米或投资额超过 150 亿元的企业）”且 A107042“选择适用优惠政策”勾选“适用新出台优惠政策”时，第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2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14、当表 A000000“208 软件、集成电路企业类型”填报“140 集成电路生产企业（线宽小于 130 纳米的企业）”且 A107042“选择适用优惠政策”勾选“适用新出台优惠政策”时，第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3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15、当表 A000000“208 软件、集成电路企业类型”填报“210 集成电路设计企业（新办符合条件的集成电路设计企业\国家鼓励的集成电路设计企业）”且 A107042“选择适用优惠政策”勾选“适用新出台优惠政策”时，第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16、当表 A000000“208 软件、集成电路企业类型”填报“220 集成电路设计企业（符合规模条件的重点集成电路设计企业）”“230 集成电路设计企业（符合领域条件的重点集成电路设计企业）”且 A107042“选择适用优惠政策”勾选“适用新出台优惠政策”时，第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5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17、当表 A000000“208 软件、集成电路企业类型”填报“600 集成电路装备（含专用设备）企业”且 A107042“选择适用优惠政策”勾选“适用新出台优惠政策”时，第28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6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18、当表 A000000“208 软件、集成电路企业类型”填报“500 集成电路材料（含关键专用材料）企业”且 A107042“选择适用优惠政策”勾选“适用新出台优惠政策”时， 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7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19、当表 A000000“208 软件、集成电路企业类型”填报“400 集成电路封装、测试（含封装测试）企业”且 A107042“选择适用优惠政策”勾选“适用新出台优惠政策” 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8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20、当表 A000000“208 软件、集成电路企业类型”填报“311 软件企业（一般软件企业—符合条件的软件企业\国家鼓励的软件企业）”“321 软件企业（嵌入式或信息系统集成软件—符合条件的软件企业\国家鼓励的软件企业）”且 A107042“选择适用优惠政策”勾选“适用新出台优惠政策”时，第 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9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21、当表 A000000“208 软件、集成电路企业类型”填报“312 软件企业（一般软件企业—符合规模条件的重点软件企业）”“313 软件企业（一般软件企业—符合领域条件的重点软件企业）”“314 软件企业（一般软件企业—符合出口条件的重点软件企业）” “322 软件企业（嵌入式或信息系统集成软件产品企业—符合规模条件的重点软件企业）”“323 软件企业（嵌入式或信息系统集成软件产品企业—符合领域条件的重点软件企业）”“324 软件企业（嵌入式或信息系统集成软件产品企业—符合出口条件的重点软件企业）”且 A107042“选择适用优惠政策”勾选“适用新出台优惠政策”时，第28</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4</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10 行＝表 A107042 第 11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 32 行＝（表 A100000 第 25 行-本表第 1+2+3+4+5…-29+30+31 行）×40%×减征幅度。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 34 行＝表 A100000 第 26 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微软雅黑" w:hAnsi="微软雅黑" w:eastAsia="微软雅黑" w:cs="微软雅黑"/>
          <w:sz w:val="21"/>
          <w:szCs w:val="21"/>
          <w:lang w:eastAsia="zh-CN"/>
        </w:rPr>
      </w:pPr>
    </w:p>
    <w:p>
      <w:pPr>
        <w:pStyle w:val="3"/>
        <w:bidi w:val="0"/>
        <w:rPr>
          <w:rFonts w:hint="eastAsia"/>
          <w:lang w:eastAsia="zh-CN"/>
        </w:rPr>
      </w:pPr>
      <w:r>
        <w:rPr>
          <w:rFonts w:hint="eastAsia"/>
          <w:lang w:eastAsia="zh-CN"/>
        </w:rPr>
        <w:t>A107041</w:t>
      </w:r>
      <w:r>
        <w:rPr>
          <w:rFonts w:hint="eastAsia"/>
          <w:lang w:eastAsia="zh-CN"/>
        </w:rPr>
        <w:tab/>
      </w:r>
      <w:r>
        <w:rPr>
          <w:rFonts w:hint="eastAsia"/>
          <w:lang w:eastAsia="zh-CN"/>
        </w:rPr>
        <w:t>高新技术企业优惠情况及明细表</w:t>
      </w:r>
    </w:p>
    <w:tbl>
      <w:tblPr>
        <w:tblStyle w:val="8"/>
        <w:tblW w:w="96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21"/>
        <w:gridCol w:w="628"/>
        <w:gridCol w:w="1756"/>
        <w:gridCol w:w="1659"/>
        <w:gridCol w:w="856"/>
        <w:gridCol w:w="335"/>
        <w:gridCol w:w="746"/>
        <w:gridCol w:w="1083"/>
        <w:gridCol w:w="1081"/>
        <w:gridCol w:w="10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9656" w:type="dxa"/>
            <w:gridSpan w:val="10"/>
            <w:tcBorders>
              <w:top w:val="single" w:color="auto" w:sz="12" w:space="0"/>
              <w:left w:val="single" w:color="auto" w:sz="12" w:space="0"/>
              <w:bottom w:val="single" w:color="auto" w:sz="6" w:space="0"/>
              <w:right w:val="single" w:color="auto" w:sz="12" w:space="0"/>
            </w:tcBorders>
            <w:noWrap w:val="0"/>
            <w:vAlign w:val="center"/>
          </w:tcPr>
          <w:p>
            <w:pPr>
              <w:widowControl/>
              <w:jc w:val="center"/>
              <w:rPr>
                <w:rFonts w:ascii="宋体"/>
                <w:b/>
                <w:bCs/>
                <w:kern w:val="0"/>
                <w:sz w:val="20"/>
                <w:szCs w:val="20"/>
              </w:rPr>
            </w:pPr>
            <w:r>
              <w:rPr>
                <w:rFonts w:hint="eastAsia" w:ascii="宋体" w:hAnsi="宋体" w:cs="宋体"/>
                <w:b/>
                <w:bCs/>
                <w:kern w:val="0"/>
                <w:sz w:val="20"/>
                <w:szCs w:val="20"/>
              </w:rPr>
              <w:t>税收优惠基本信息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4" w:space="0"/>
              <w:right w:val="single" w:color="auto" w:sz="4" w:space="0"/>
            </w:tcBorders>
            <w:noWrap w:val="0"/>
            <w:vAlign w:val="center"/>
          </w:tcPr>
          <w:p>
            <w:pPr>
              <w:widowControl/>
              <w:jc w:val="center"/>
              <w:rPr>
                <w:rFonts w:ascii="宋体"/>
                <w:kern w:val="0"/>
                <w:sz w:val="20"/>
                <w:szCs w:val="20"/>
              </w:rPr>
            </w:pPr>
            <w:r>
              <w:rPr>
                <w:rFonts w:ascii="宋体" w:hAnsi="宋体" w:cs="宋体"/>
                <w:kern w:val="0"/>
                <w:sz w:val="20"/>
                <w:szCs w:val="20"/>
              </w:rPr>
              <w:t>1</w:t>
            </w:r>
          </w:p>
        </w:tc>
        <w:tc>
          <w:tcPr>
            <w:tcW w:w="2384" w:type="dxa"/>
            <w:gridSpan w:val="2"/>
            <w:vMerge w:val="restart"/>
            <w:tcBorders>
              <w:top w:val="single" w:color="auto" w:sz="6" w:space="0"/>
              <w:left w:val="single" w:color="auto" w:sz="4" w:space="0"/>
              <w:bottom w:val="single" w:color="auto" w:sz="6" w:space="0"/>
              <w:right w:val="single" w:color="auto" w:sz="6" w:space="0"/>
            </w:tcBorders>
            <w:noWrap w:val="0"/>
            <w:vAlign w:val="center"/>
          </w:tcPr>
          <w:p>
            <w:pPr>
              <w:jc w:val="left"/>
              <w:rPr>
                <w:rFonts w:ascii="宋体"/>
                <w:kern w:val="0"/>
                <w:sz w:val="20"/>
                <w:szCs w:val="20"/>
              </w:rPr>
            </w:pPr>
            <w:r>
              <w:rPr>
                <w:rFonts w:hint="eastAsia" w:ascii="宋体" w:hAnsi="宋体" w:cs="宋体"/>
                <w:kern w:val="0"/>
                <w:sz w:val="20"/>
                <w:szCs w:val="20"/>
              </w:rPr>
              <w:t>企业主要产品（服务）发挥核心支持作用的技术所属范围</w:t>
            </w:r>
          </w:p>
        </w:tc>
        <w:tc>
          <w:tcPr>
            <w:tcW w:w="1659" w:type="dxa"/>
            <w:vMerge w:val="restart"/>
            <w:tcBorders>
              <w:top w:val="single" w:color="auto" w:sz="6" w:space="0"/>
              <w:left w:val="single" w:color="auto" w:sz="6" w:space="0"/>
              <w:bottom w:val="single" w:color="auto" w:sz="6" w:space="0"/>
              <w:right w:val="single" w:color="auto" w:sz="4" w:space="0"/>
            </w:tcBorders>
            <w:noWrap w:val="0"/>
            <w:vAlign w:val="center"/>
          </w:tcPr>
          <w:p>
            <w:pPr>
              <w:widowControl/>
              <w:jc w:val="center"/>
              <w:rPr>
                <w:rFonts w:ascii="宋体"/>
                <w:kern w:val="0"/>
                <w:sz w:val="20"/>
                <w:szCs w:val="20"/>
              </w:rPr>
            </w:pPr>
            <w:r>
              <w:rPr>
                <w:rFonts w:hint="eastAsia" w:ascii="宋体" w:hAnsi="宋体" w:cs="宋体"/>
                <w:kern w:val="0"/>
                <w:sz w:val="20"/>
                <w:szCs w:val="20"/>
              </w:rPr>
              <w:t>国家重点支持的高新技术领域</w:t>
            </w:r>
          </w:p>
        </w:tc>
        <w:tc>
          <w:tcPr>
            <w:tcW w:w="1191" w:type="dxa"/>
            <w:gridSpan w:val="2"/>
            <w:tcBorders>
              <w:top w:val="single" w:color="auto" w:sz="6" w:space="0"/>
              <w:left w:val="single" w:color="auto" w:sz="4" w:space="0"/>
              <w:bottom w:val="single" w:color="auto" w:sz="6" w:space="0"/>
              <w:right w:val="single" w:color="auto" w:sz="4" w:space="0"/>
            </w:tcBorders>
            <w:noWrap w:val="0"/>
            <w:vAlign w:val="center"/>
          </w:tcPr>
          <w:p>
            <w:pPr>
              <w:widowControl/>
              <w:rPr>
                <w:rFonts w:ascii="宋体"/>
                <w:kern w:val="0"/>
                <w:sz w:val="20"/>
                <w:szCs w:val="20"/>
              </w:rPr>
            </w:pPr>
            <w:r>
              <w:rPr>
                <w:rFonts w:hint="eastAsia" w:ascii="宋体" w:hAnsi="宋体" w:cs="宋体"/>
                <w:kern w:val="0"/>
                <w:sz w:val="20"/>
                <w:szCs w:val="20"/>
              </w:rPr>
              <w:t>一级领域</w:t>
            </w:r>
          </w:p>
        </w:tc>
        <w:tc>
          <w:tcPr>
            <w:tcW w:w="4001" w:type="dxa"/>
            <w:gridSpan w:val="4"/>
            <w:tcBorders>
              <w:top w:val="single" w:color="auto" w:sz="6" w:space="0"/>
              <w:left w:val="single" w:color="auto" w:sz="4" w:space="0"/>
              <w:bottom w:val="single" w:color="auto" w:sz="6" w:space="0"/>
              <w:right w:val="single" w:color="auto" w:sz="12" w:space="0"/>
            </w:tcBorders>
            <w:noWrap w:val="0"/>
            <w:vAlign w:val="center"/>
          </w:tcPr>
          <w:p>
            <w:pPr>
              <w:widowControl/>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4" w:space="0"/>
              <w:left w:val="single" w:color="auto" w:sz="12" w:space="0"/>
              <w:bottom w:val="single" w:color="auto" w:sz="4" w:space="0"/>
              <w:right w:val="single" w:color="auto" w:sz="4" w:space="0"/>
            </w:tcBorders>
            <w:noWrap w:val="0"/>
            <w:vAlign w:val="center"/>
          </w:tcPr>
          <w:p>
            <w:pPr>
              <w:widowControl/>
              <w:jc w:val="center"/>
              <w:rPr>
                <w:rFonts w:ascii="宋体"/>
                <w:kern w:val="0"/>
                <w:sz w:val="20"/>
                <w:szCs w:val="20"/>
              </w:rPr>
            </w:pPr>
            <w:r>
              <w:rPr>
                <w:rFonts w:ascii="宋体" w:hAnsi="宋体" w:cs="宋体"/>
                <w:kern w:val="0"/>
                <w:sz w:val="20"/>
                <w:szCs w:val="20"/>
              </w:rPr>
              <w:t>2</w:t>
            </w:r>
          </w:p>
        </w:tc>
        <w:tc>
          <w:tcPr>
            <w:tcW w:w="2384" w:type="dxa"/>
            <w:gridSpan w:val="2"/>
            <w:vMerge w:val="continue"/>
            <w:tcBorders>
              <w:top w:val="single" w:color="auto" w:sz="6" w:space="0"/>
              <w:left w:val="single" w:color="auto" w:sz="4" w:space="0"/>
              <w:bottom w:val="single" w:color="auto" w:sz="6" w:space="0"/>
              <w:right w:val="single" w:color="auto" w:sz="6" w:space="0"/>
            </w:tcBorders>
            <w:noWrap w:val="0"/>
            <w:vAlign w:val="center"/>
          </w:tcPr>
          <w:p>
            <w:pPr>
              <w:jc w:val="left"/>
              <w:rPr>
                <w:rFonts w:ascii="宋体"/>
                <w:kern w:val="0"/>
                <w:sz w:val="20"/>
                <w:szCs w:val="20"/>
              </w:rPr>
            </w:pPr>
          </w:p>
        </w:tc>
        <w:tc>
          <w:tcPr>
            <w:tcW w:w="1659" w:type="dxa"/>
            <w:vMerge w:val="continue"/>
            <w:tcBorders>
              <w:top w:val="single" w:color="auto" w:sz="6" w:space="0"/>
              <w:left w:val="single" w:color="auto" w:sz="6" w:space="0"/>
              <w:bottom w:val="single" w:color="auto" w:sz="6" w:space="0"/>
              <w:right w:val="single" w:color="auto" w:sz="4" w:space="0"/>
            </w:tcBorders>
            <w:noWrap w:val="0"/>
            <w:vAlign w:val="center"/>
          </w:tcPr>
          <w:p>
            <w:pPr>
              <w:jc w:val="left"/>
              <w:rPr>
                <w:rFonts w:ascii="宋体"/>
                <w:kern w:val="0"/>
                <w:sz w:val="20"/>
                <w:szCs w:val="20"/>
              </w:rPr>
            </w:pPr>
          </w:p>
        </w:tc>
        <w:tc>
          <w:tcPr>
            <w:tcW w:w="1191" w:type="dxa"/>
            <w:gridSpan w:val="2"/>
            <w:tcBorders>
              <w:top w:val="single" w:color="auto" w:sz="6" w:space="0"/>
              <w:left w:val="single" w:color="auto" w:sz="4" w:space="0"/>
              <w:bottom w:val="single" w:color="auto" w:sz="6" w:space="0"/>
              <w:right w:val="single" w:color="auto" w:sz="4" w:space="0"/>
            </w:tcBorders>
            <w:noWrap w:val="0"/>
            <w:vAlign w:val="center"/>
          </w:tcPr>
          <w:p>
            <w:pPr>
              <w:widowControl/>
              <w:rPr>
                <w:rFonts w:ascii="宋体"/>
                <w:kern w:val="0"/>
                <w:sz w:val="20"/>
                <w:szCs w:val="20"/>
              </w:rPr>
            </w:pPr>
            <w:r>
              <w:rPr>
                <w:rFonts w:hint="eastAsia" w:ascii="宋体" w:hAnsi="宋体" w:cs="宋体"/>
                <w:kern w:val="0"/>
                <w:sz w:val="20"/>
                <w:szCs w:val="20"/>
              </w:rPr>
              <w:t>二级领域</w:t>
            </w:r>
          </w:p>
        </w:tc>
        <w:tc>
          <w:tcPr>
            <w:tcW w:w="4001" w:type="dxa"/>
            <w:gridSpan w:val="4"/>
            <w:tcBorders>
              <w:top w:val="single" w:color="auto" w:sz="6" w:space="0"/>
              <w:left w:val="single" w:color="auto" w:sz="4" w:space="0"/>
              <w:bottom w:val="single" w:color="auto" w:sz="6" w:space="0"/>
              <w:right w:val="single" w:color="auto" w:sz="12" w:space="0"/>
            </w:tcBorders>
            <w:noWrap w:val="0"/>
            <w:vAlign w:val="center"/>
          </w:tcPr>
          <w:p>
            <w:pPr>
              <w:widowControl/>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4" w:space="0"/>
              <w:left w:val="single" w:color="auto" w:sz="12" w:space="0"/>
              <w:bottom w:val="single" w:color="auto" w:sz="12" w:space="0"/>
              <w:right w:val="single" w:color="auto" w:sz="4" w:space="0"/>
            </w:tcBorders>
            <w:noWrap w:val="0"/>
            <w:vAlign w:val="center"/>
          </w:tcPr>
          <w:p>
            <w:pPr>
              <w:widowControl/>
              <w:jc w:val="center"/>
              <w:rPr>
                <w:rFonts w:ascii="宋体"/>
                <w:kern w:val="0"/>
                <w:sz w:val="20"/>
                <w:szCs w:val="20"/>
              </w:rPr>
            </w:pPr>
            <w:r>
              <w:rPr>
                <w:rFonts w:ascii="宋体" w:hAnsi="宋体" w:cs="宋体"/>
                <w:kern w:val="0"/>
                <w:sz w:val="20"/>
                <w:szCs w:val="20"/>
              </w:rPr>
              <w:t>3</w:t>
            </w:r>
          </w:p>
        </w:tc>
        <w:tc>
          <w:tcPr>
            <w:tcW w:w="2384" w:type="dxa"/>
            <w:gridSpan w:val="2"/>
            <w:vMerge w:val="continue"/>
            <w:tcBorders>
              <w:top w:val="single" w:color="auto" w:sz="6" w:space="0"/>
              <w:left w:val="single" w:color="auto" w:sz="4" w:space="0"/>
              <w:bottom w:val="single" w:color="auto" w:sz="12" w:space="0"/>
              <w:right w:val="single" w:color="auto" w:sz="6" w:space="0"/>
            </w:tcBorders>
            <w:noWrap w:val="0"/>
            <w:vAlign w:val="center"/>
          </w:tcPr>
          <w:p>
            <w:pPr>
              <w:widowControl/>
              <w:jc w:val="left"/>
              <w:rPr>
                <w:rFonts w:ascii="宋体"/>
                <w:kern w:val="0"/>
                <w:sz w:val="20"/>
                <w:szCs w:val="20"/>
              </w:rPr>
            </w:pPr>
          </w:p>
        </w:tc>
        <w:tc>
          <w:tcPr>
            <w:tcW w:w="1659" w:type="dxa"/>
            <w:vMerge w:val="continue"/>
            <w:tcBorders>
              <w:top w:val="single" w:color="auto" w:sz="6" w:space="0"/>
              <w:left w:val="single" w:color="auto" w:sz="6" w:space="0"/>
              <w:bottom w:val="single" w:color="auto" w:sz="12" w:space="0"/>
              <w:right w:val="single" w:color="auto" w:sz="4" w:space="0"/>
            </w:tcBorders>
            <w:noWrap w:val="0"/>
            <w:vAlign w:val="center"/>
          </w:tcPr>
          <w:p>
            <w:pPr>
              <w:widowControl/>
              <w:jc w:val="left"/>
              <w:rPr>
                <w:rFonts w:ascii="宋体"/>
                <w:kern w:val="0"/>
                <w:sz w:val="20"/>
                <w:szCs w:val="20"/>
              </w:rPr>
            </w:pPr>
          </w:p>
        </w:tc>
        <w:tc>
          <w:tcPr>
            <w:tcW w:w="1191" w:type="dxa"/>
            <w:gridSpan w:val="2"/>
            <w:tcBorders>
              <w:top w:val="single" w:color="auto" w:sz="6" w:space="0"/>
              <w:left w:val="single" w:color="auto" w:sz="4" w:space="0"/>
              <w:bottom w:val="single" w:color="auto" w:sz="12" w:space="0"/>
              <w:right w:val="single" w:color="auto" w:sz="6" w:space="0"/>
            </w:tcBorders>
            <w:noWrap w:val="0"/>
            <w:vAlign w:val="center"/>
          </w:tcPr>
          <w:p>
            <w:pPr>
              <w:widowControl/>
              <w:rPr>
                <w:rFonts w:ascii="宋体"/>
                <w:kern w:val="0"/>
                <w:sz w:val="20"/>
                <w:szCs w:val="20"/>
              </w:rPr>
            </w:pPr>
            <w:r>
              <w:rPr>
                <w:rFonts w:hint="eastAsia" w:ascii="宋体" w:hAnsi="宋体" w:cs="宋体"/>
                <w:kern w:val="0"/>
                <w:sz w:val="20"/>
                <w:szCs w:val="20"/>
              </w:rPr>
              <w:t>三级领域</w:t>
            </w:r>
          </w:p>
        </w:tc>
        <w:tc>
          <w:tcPr>
            <w:tcW w:w="4001" w:type="dxa"/>
            <w:gridSpan w:val="4"/>
            <w:tcBorders>
              <w:top w:val="single" w:color="auto" w:sz="6" w:space="0"/>
              <w:left w:val="single" w:color="auto" w:sz="6" w:space="0"/>
              <w:bottom w:val="single" w:color="auto" w:sz="12" w:space="0"/>
              <w:right w:val="single" w:color="auto" w:sz="12" w:space="0"/>
            </w:tcBorders>
            <w:noWrap w:val="0"/>
            <w:vAlign w:val="center"/>
          </w:tcPr>
          <w:p>
            <w:pPr>
              <w:widowControl/>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9656" w:type="dxa"/>
            <w:gridSpan w:val="10"/>
            <w:tcBorders>
              <w:top w:val="single" w:color="auto" w:sz="12" w:space="0"/>
              <w:left w:val="single" w:color="auto" w:sz="12" w:space="0"/>
              <w:bottom w:val="single" w:color="auto" w:sz="6" w:space="0"/>
              <w:right w:val="single" w:color="auto" w:sz="12" w:space="0"/>
            </w:tcBorders>
            <w:noWrap w:val="0"/>
            <w:vAlign w:val="center"/>
          </w:tcPr>
          <w:p>
            <w:pPr>
              <w:widowControl/>
              <w:jc w:val="center"/>
              <w:rPr>
                <w:rFonts w:ascii="宋体"/>
                <w:b/>
                <w:bCs/>
                <w:kern w:val="0"/>
                <w:sz w:val="20"/>
                <w:szCs w:val="20"/>
              </w:rPr>
            </w:pPr>
            <w:r>
              <w:rPr>
                <w:rFonts w:hint="eastAsia" w:ascii="宋体" w:hAnsi="宋体" w:cs="宋体"/>
                <w:b/>
                <w:bCs/>
                <w:kern w:val="0"/>
                <w:sz w:val="20"/>
                <w:szCs w:val="20"/>
              </w:rPr>
              <w:t>税收优惠有关情况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4</w:t>
            </w:r>
          </w:p>
        </w:tc>
        <w:tc>
          <w:tcPr>
            <w:tcW w:w="628"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收入指标</w:t>
            </w: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一、本年高新技术产品（服务）收入（</w:t>
            </w:r>
            <w:r>
              <w:rPr>
                <w:rFonts w:ascii="宋体" w:hAnsi="宋体" w:cs="宋体"/>
                <w:kern w:val="0"/>
                <w:sz w:val="20"/>
                <w:szCs w:val="20"/>
              </w:rPr>
              <w:t>5+6</w:t>
            </w:r>
            <w:r>
              <w:rPr>
                <w:rFonts w:hint="eastAsia" w:ascii="宋体" w:hAnsi="宋体" w:cs="宋体"/>
                <w:kern w:val="0"/>
                <w:sz w:val="20"/>
                <w:szCs w:val="20"/>
              </w:rPr>
              <w:t>）</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5</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其中：产品（服务）收入</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6</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ind w:firstLine="1000" w:firstLineChars="500"/>
              <w:jc w:val="left"/>
              <w:rPr>
                <w:rFonts w:ascii="宋体"/>
                <w:kern w:val="0"/>
                <w:sz w:val="20"/>
                <w:szCs w:val="20"/>
              </w:rPr>
            </w:pPr>
            <w:r>
              <w:rPr>
                <w:rFonts w:hint="eastAsia" w:ascii="宋体" w:hAnsi="宋体" w:cs="宋体"/>
                <w:kern w:val="0"/>
                <w:sz w:val="20"/>
                <w:szCs w:val="20"/>
              </w:rPr>
              <w:t>技术性收入</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7</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二、本年企业总收入</w:t>
            </w:r>
            <w:r>
              <w:rPr>
                <w:rFonts w:ascii="宋体" w:hAnsi="宋体" w:cs="宋体"/>
                <w:kern w:val="0"/>
                <w:sz w:val="20"/>
                <w:szCs w:val="20"/>
              </w:rPr>
              <w:t>(8-9)</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8</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其中：收入总额</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9</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ind w:firstLine="1000" w:firstLineChars="500"/>
              <w:jc w:val="left"/>
              <w:rPr>
                <w:rFonts w:ascii="宋体"/>
                <w:kern w:val="0"/>
                <w:sz w:val="20"/>
                <w:szCs w:val="20"/>
              </w:rPr>
            </w:pPr>
            <w:r>
              <w:rPr>
                <w:rFonts w:hint="eastAsia" w:ascii="宋体" w:hAnsi="宋体" w:cs="宋体"/>
                <w:kern w:val="0"/>
                <w:sz w:val="20"/>
                <w:szCs w:val="20"/>
              </w:rPr>
              <w:t>不征税收入</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10</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三、本年高新技术产品（服务）收入占企业总收入的比例（</w:t>
            </w:r>
            <w:r>
              <w:rPr>
                <w:rFonts w:ascii="宋体" w:hAnsi="宋体" w:cs="宋体"/>
                <w:kern w:val="0"/>
                <w:sz w:val="20"/>
                <w:szCs w:val="20"/>
              </w:rPr>
              <w:t>4</w:t>
            </w:r>
            <w:r>
              <w:rPr>
                <w:rFonts w:hint="eastAsia" w:ascii="宋体" w:hAnsi="宋体" w:cs="宋体"/>
                <w:kern w:val="0"/>
                <w:sz w:val="20"/>
                <w:szCs w:val="20"/>
              </w:rPr>
              <w:t>÷</w:t>
            </w:r>
            <w:r>
              <w:rPr>
                <w:rFonts w:ascii="宋体" w:hAnsi="宋体" w:cs="宋体"/>
                <w:kern w:val="0"/>
                <w:sz w:val="20"/>
                <w:szCs w:val="20"/>
              </w:rPr>
              <w:t>7</w:t>
            </w:r>
            <w:r>
              <w:rPr>
                <w:rFonts w:hint="eastAsia" w:ascii="宋体" w:hAnsi="宋体" w:cs="宋体"/>
                <w:kern w:val="0"/>
                <w:sz w:val="20"/>
                <w:szCs w:val="20"/>
              </w:rPr>
              <w:t>）</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11</w:t>
            </w:r>
          </w:p>
        </w:tc>
        <w:tc>
          <w:tcPr>
            <w:tcW w:w="628"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人员指标</w:t>
            </w: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四、本年科技人员数</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12</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五、本年职工总数</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13</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六、本年科技人员占企业当年职工总数的比例（</w:t>
            </w:r>
            <w:r>
              <w:rPr>
                <w:rFonts w:ascii="宋体" w:hAnsi="宋体" w:cs="宋体"/>
                <w:kern w:val="0"/>
                <w:sz w:val="20"/>
                <w:szCs w:val="20"/>
              </w:rPr>
              <w:t>11</w:t>
            </w:r>
            <w:r>
              <w:rPr>
                <w:rFonts w:hint="eastAsia" w:ascii="宋体" w:hAnsi="宋体" w:cs="宋体"/>
                <w:kern w:val="0"/>
                <w:sz w:val="20"/>
                <w:szCs w:val="20"/>
              </w:rPr>
              <w:t>÷</w:t>
            </w:r>
            <w:r>
              <w:rPr>
                <w:rFonts w:ascii="宋体" w:hAnsi="宋体" w:cs="宋体"/>
                <w:kern w:val="0"/>
                <w:sz w:val="20"/>
                <w:szCs w:val="20"/>
              </w:rPr>
              <w:t>12</w:t>
            </w:r>
            <w:r>
              <w:rPr>
                <w:rFonts w:hint="eastAsia" w:ascii="宋体" w:hAnsi="宋体" w:cs="宋体"/>
                <w:kern w:val="0"/>
                <w:sz w:val="20"/>
                <w:szCs w:val="20"/>
              </w:rPr>
              <w:t>）</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vMerge w:val="restart"/>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14</w:t>
            </w:r>
          </w:p>
        </w:tc>
        <w:tc>
          <w:tcPr>
            <w:tcW w:w="628"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研发费用指标</w:t>
            </w:r>
          </w:p>
        </w:tc>
        <w:tc>
          <w:tcPr>
            <w:tcW w:w="4271" w:type="dxa"/>
            <w:gridSpan w:val="3"/>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高新研发费用归集年度</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本年度</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前一年度</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前二年度</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hint="eastAsia" w:ascii="宋体" w:hAnsi="宋体" w:cs="宋体"/>
                <w:kern w:val="0"/>
                <w:sz w:val="20"/>
                <w:szCs w:val="20"/>
              </w:rPr>
              <w:t>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kern w:val="0"/>
                <w:sz w:val="20"/>
                <w:szCs w:val="20"/>
              </w:rPr>
            </w:pP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r>
              <w:rPr>
                <w:rFonts w:ascii="宋体" w:hAnsi="宋体" w:cs="宋体"/>
                <w:kern w:val="0"/>
                <w:sz w:val="20"/>
                <w:szCs w:val="20"/>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15</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七、归集的高新研发费用金额（</w:t>
            </w:r>
            <w:r>
              <w:rPr>
                <w:rFonts w:ascii="宋体" w:hAnsi="宋体" w:cs="宋体"/>
                <w:kern w:val="0"/>
                <w:sz w:val="20"/>
                <w:szCs w:val="20"/>
              </w:rPr>
              <w:t>16+25</w:t>
            </w:r>
            <w:r>
              <w:rPr>
                <w:rFonts w:hint="eastAsia" w:ascii="宋体" w:hAnsi="宋体" w:cs="宋体"/>
                <w:kern w:val="0"/>
                <w:sz w:val="20"/>
                <w:szCs w:val="20"/>
              </w:rPr>
              <w:t>）</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16</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（一）内部研究开发投入</w:t>
            </w:r>
            <w:r>
              <w:rPr>
                <w:rFonts w:ascii="宋体" w:hAnsi="宋体" w:cs="宋体"/>
                <w:kern w:val="0"/>
                <w:sz w:val="20"/>
                <w:szCs w:val="20"/>
              </w:rPr>
              <w:t>(17+</w:t>
            </w:r>
            <w:r>
              <w:rPr>
                <w:rFonts w:hint="eastAsia" w:ascii="宋体" w:cs="宋体"/>
                <w:kern w:val="0"/>
                <w:sz w:val="20"/>
                <w:szCs w:val="20"/>
              </w:rPr>
              <w:t>…</w:t>
            </w:r>
            <w:r>
              <w:rPr>
                <w:rFonts w:ascii="宋体" w:hAnsi="宋体" w:cs="宋体"/>
                <w:kern w:val="0"/>
                <w:sz w:val="20"/>
                <w:szCs w:val="20"/>
              </w:rPr>
              <w:t>+22+24)</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17</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人员人工费用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18</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直接投入费用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19</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3</w:t>
            </w:r>
            <w:r>
              <w:rPr>
                <w:rFonts w:hint="eastAsia" w:ascii="宋体" w:hAnsi="宋体" w:eastAsia="宋体" w:cs="宋体"/>
                <w:kern w:val="0"/>
                <w:sz w:val="20"/>
                <w:szCs w:val="20"/>
                <w:lang w:eastAsia="zh-CN"/>
              </w:rPr>
              <w:t>、</w:t>
            </w:r>
            <w:r>
              <w:rPr>
                <w:rFonts w:hint="eastAsia" w:ascii="宋体" w:hAnsi="宋体" w:cs="宋体"/>
                <w:kern w:val="0"/>
                <w:sz w:val="20"/>
                <w:szCs w:val="20"/>
              </w:rPr>
              <w:t>折旧费用与长期待摊费用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20</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4</w:t>
            </w:r>
            <w:r>
              <w:rPr>
                <w:rFonts w:hint="eastAsia" w:ascii="宋体" w:hAnsi="宋体" w:eastAsia="宋体" w:cs="宋体"/>
                <w:kern w:val="0"/>
                <w:sz w:val="20"/>
                <w:szCs w:val="20"/>
                <w:lang w:eastAsia="zh-CN"/>
              </w:rPr>
              <w:t>、</w:t>
            </w:r>
            <w:r>
              <w:rPr>
                <w:rFonts w:hint="eastAsia" w:ascii="宋体" w:hAnsi="宋体" w:cs="宋体"/>
                <w:kern w:val="0"/>
                <w:sz w:val="20"/>
                <w:szCs w:val="20"/>
              </w:rPr>
              <w:t>无形资产摊销费用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21</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5</w:t>
            </w:r>
            <w:r>
              <w:rPr>
                <w:rFonts w:hint="eastAsia" w:ascii="宋体" w:hAnsi="宋体" w:eastAsia="宋体" w:cs="宋体"/>
                <w:kern w:val="0"/>
                <w:sz w:val="20"/>
                <w:szCs w:val="20"/>
                <w:lang w:eastAsia="zh-CN"/>
              </w:rPr>
              <w:t>、</w:t>
            </w:r>
            <w:r>
              <w:rPr>
                <w:rFonts w:hint="eastAsia" w:ascii="宋体" w:hAnsi="宋体" w:cs="宋体"/>
                <w:kern w:val="0"/>
                <w:sz w:val="20"/>
                <w:szCs w:val="20"/>
              </w:rPr>
              <w:t>设计费用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22</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6</w:t>
            </w:r>
            <w:r>
              <w:rPr>
                <w:rFonts w:hint="eastAsia" w:ascii="宋体" w:hAnsi="宋体" w:eastAsia="宋体" w:cs="宋体"/>
                <w:kern w:val="0"/>
                <w:sz w:val="20"/>
                <w:szCs w:val="20"/>
                <w:lang w:eastAsia="zh-CN"/>
              </w:rPr>
              <w:t>、</w:t>
            </w:r>
            <w:r>
              <w:rPr>
                <w:rFonts w:hint="eastAsia" w:ascii="宋体" w:hAnsi="宋体" w:cs="宋体"/>
                <w:kern w:val="0"/>
                <w:sz w:val="20"/>
                <w:szCs w:val="20"/>
              </w:rPr>
              <w:t>装备调试费与实验费用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23</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7</w:t>
            </w:r>
            <w:r>
              <w:rPr>
                <w:rFonts w:hint="eastAsia" w:ascii="宋体" w:hAnsi="宋体" w:eastAsia="宋体" w:cs="宋体"/>
                <w:kern w:val="0"/>
                <w:sz w:val="20"/>
                <w:szCs w:val="20"/>
                <w:lang w:eastAsia="zh-CN"/>
              </w:rPr>
              <w:t>、</w:t>
            </w:r>
            <w:r>
              <w:rPr>
                <w:rFonts w:hint="eastAsia" w:ascii="宋体" w:hAnsi="宋体" w:cs="宋体"/>
                <w:kern w:val="0"/>
                <w:sz w:val="20"/>
                <w:szCs w:val="20"/>
              </w:rPr>
              <w:t>其他费用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24</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1000" w:firstLineChars="500"/>
              <w:jc w:val="left"/>
              <w:rPr>
                <w:rFonts w:ascii="宋体"/>
                <w:kern w:val="0"/>
                <w:sz w:val="20"/>
                <w:szCs w:val="20"/>
              </w:rPr>
            </w:pPr>
            <w:r>
              <w:rPr>
                <w:rFonts w:hint="eastAsia" w:ascii="宋体" w:hAnsi="宋体" w:cs="宋体"/>
                <w:kern w:val="0"/>
                <w:sz w:val="20"/>
                <w:szCs w:val="20"/>
              </w:rPr>
              <w:t>其中：可计入研发费用的其他费用</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25</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400" w:firstLineChars="200"/>
              <w:jc w:val="left"/>
              <w:rPr>
                <w:rFonts w:ascii="宋体"/>
                <w:kern w:val="0"/>
                <w:sz w:val="20"/>
                <w:szCs w:val="20"/>
              </w:rPr>
            </w:pPr>
            <w:r>
              <w:rPr>
                <w:rFonts w:hint="eastAsia" w:ascii="宋体" w:hAnsi="宋体" w:cs="宋体"/>
                <w:kern w:val="0"/>
                <w:sz w:val="20"/>
                <w:szCs w:val="20"/>
              </w:rPr>
              <w:t>（二）委托外部研发费用</w:t>
            </w:r>
            <w:r>
              <w:rPr>
                <w:rFonts w:ascii="宋体" w:hAnsi="宋体" w:cs="宋体"/>
                <w:kern w:val="0"/>
                <w:sz w:val="20"/>
                <w:szCs w:val="20"/>
              </w:rPr>
              <w:t>[(26+28)</w:t>
            </w:r>
            <w:r>
              <w:rPr>
                <w:rFonts w:hint="eastAsia" w:ascii="宋体" w:hAnsi="宋体" w:cs="宋体"/>
                <w:kern w:val="0"/>
                <w:sz w:val="20"/>
                <w:szCs w:val="20"/>
              </w:rPr>
              <w:t>×</w:t>
            </w:r>
            <w:r>
              <w:rPr>
                <w:rFonts w:ascii="宋体" w:hAnsi="宋体" w:cs="宋体"/>
                <w:kern w:val="0"/>
                <w:sz w:val="20"/>
                <w:szCs w:val="20"/>
              </w:rPr>
              <w:t>80%]</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26</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1</w:t>
            </w:r>
            <w:r>
              <w:rPr>
                <w:rFonts w:hint="eastAsia" w:ascii="宋体" w:hAnsi="宋体" w:eastAsia="宋体" w:cs="宋体"/>
                <w:kern w:val="0"/>
                <w:sz w:val="20"/>
                <w:szCs w:val="20"/>
                <w:lang w:eastAsia="zh-CN"/>
              </w:rPr>
              <w:t>、</w:t>
            </w:r>
            <w:r>
              <w:rPr>
                <w:rFonts w:hint="eastAsia" w:ascii="宋体" w:hAnsi="宋体" w:cs="宋体"/>
                <w:kern w:val="0"/>
                <w:sz w:val="20"/>
                <w:szCs w:val="20"/>
              </w:rPr>
              <w:t>境内的外部研发费</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27</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firstLine="800" w:firstLineChars="400"/>
              <w:jc w:val="left"/>
              <w:rPr>
                <w:rFonts w:ascii="宋体"/>
                <w:kern w:val="0"/>
                <w:sz w:val="20"/>
                <w:szCs w:val="20"/>
              </w:rPr>
            </w:pPr>
            <w:r>
              <w:rPr>
                <w:rFonts w:ascii="宋体" w:hAnsi="宋体" w:cs="宋体"/>
                <w:kern w:val="0"/>
                <w:sz w:val="20"/>
                <w:szCs w:val="20"/>
              </w:rPr>
              <w:t>2</w:t>
            </w:r>
            <w:r>
              <w:rPr>
                <w:rFonts w:hint="eastAsia" w:ascii="宋体" w:hAnsi="宋体" w:eastAsia="宋体" w:cs="宋体"/>
                <w:kern w:val="0"/>
                <w:sz w:val="20"/>
                <w:szCs w:val="20"/>
                <w:lang w:eastAsia="zh-CN"/>
              </w:rPr>
              <w:t>、</w:t>
            </w:r>
            <w:r>
              <w:rPr>
                <w:rFonts w:hint="eastAsia" w:ascii="宋体" w:hAnsi="宋体" w:cs="宋体"/>
                <w:kern w:val="0"/>
                <w:sz w:val="20"/>
                <w:szCs w:val="20"/>
              </w:rPr>
              <w:t>境外的外部研发费</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28</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ind w:left="1050" w:leftChars="500"/>
              <w:jc w:val="left"/>
              <w:rPr>
                <w:rFonts w:ascii="宋体"/>
                <w:kern w:val="0"/>
                <w:sz w:val="20"/>
                <w:szCs w:val="20"/>
              </w:rPr>
            </w:pPr>
            <w:r>
              <w:rPr>
                <w:rFonts w:hint="eastAsia" w:ascii="宋体" w:hAnsi="宋体" w:cs="宋体"/>
                <w:kern w:val="0"/>
                <w:sz w:val="20"/>
                <w:szCs w:val="20"/>
              </w:rPr>
              <w:t>其中：可计入研发费用的境外的外部研发费</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29</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4271" w:type="dxa"/>
            <w:gridSpan w:val="3"/>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八、销售（营业）收入</w:t>
            </w:r>
          </w:p>
        </w:tc>
        <w:tc>
          <w:tcPr>
            <w:tcW w:w="1081" w:type="dxa"/>
            <w:gridSpan w:val="2"/>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81"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30</w:t>
            </w:r>
          </w:p>
        </w:tc>
        <w:tc>
          <w:tcPr>
            <w:tcW w:w="62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九、三年研发费用占销售（营业）收入的比例（</w:t>
            </w:r>
            <w:r>
              <w:rPr>
                <w:rFonts w:ascii="宋体" w:hAnsi="宋体" w:cs="宋体"/>
                <w:kern w:val="0"/>
                <w:sz w:val="20"/>
                <w:szCs w:val="20"/>
              </w:rPr>
              <w:t>15</w:t>
            </w:r>
            <w:r>
              <w:rPr>
                <w:rFonts w:hint="eastAsia" w:ascii="宋体" w:hAnsi="宋体" w:cs="宋体"/>
                <w:kern w:val="0"/>
                <w:sz w:val="20"/>
                <w:szCs w:val="20"/>
              </w:rPr>
              <w:t>行</w:t>
            </w:r>
            <w:r>
              <w:rPr>
                <w:rFonts w:ascii="宋体" w:hAnsi="宋体" w:cs="宋体"/>
                <w:kern w:val="0"/>
                <w:sz w:val="20"/>
                <w:szCs w:val="20"/>
              </w:rPr>
              <w:t>4</w:t>
            </w:r>
            <w:r>
              <w:rPr>
                <w:rFonts w:hint="eastAsia" w:ascii="宋体" w:hAnsi="宋体" w:cs="宋体"/>
                <w:kern w:val="0"/>
                <w:sz w:val="20"/>
                <w:szCs w:val="20"/>
              </w:rPr>
              <w:t>列÷</w:t>
            </w:r>
            <w:r>
              <w:rPr>
                <w:rFonts w:ascii="宋体" w:hAnsi="宋体" w:cs="宋体"/>
                <w:kern w:val="0"/>
                <w:sz w:val="20"/>
                <w:szCs w:val="20"/>
              </w:rPr>
              <w:t>29</w:t>
            </w:r>
            <w:r>
              <w:rPr>
                <w:rFonts w:hint="eastAsia" w:ascii="宋体" w:hAnsi="宋体" w:cs="宋体"/>
                <w:kern w:val="0"/>
                <w:sz w:val="20"/>
                <w:szCs w:val="20"/>
              </w:rPr>
              <w:t>行</w:t>
            </w:r>
            <w:r>
              <w:rPr>
                <w:rFonts w:ascii="宋体" w:hAnsi="宋体" w:cs="宋体"/>
                <w:kern w:val="0"/>
                <w:sz w:val="20"/>
                <w:szCs w:val="20"/>
              </w:rPr>
              <w:t>4</w:t>
            </w:r>
            <w:r>
              <w:rPr>
                <w:rFonts w:hint="eastAsia" w:ascii="宋体" w:hAnsi="宋体" w:cs="宋体"/>
                <w:kern w:val="0"/>
                <w:sz w:val="20"/>
                <w:szCs w:val="20"/>
              </w:rPr>
              <w:t>列）</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31</w:t>
            </w:r>
          </w:p>
        </w:tc>
        <w:tc>
          <w:tcPr>
            <w:tcW w:w="628"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减免税额</w:t>
            </w:r>
          </w:p>
        </w:tc>
        <w:tc>
          <w:tcPr>
            <w:tcW w:w="7516" w:type="dxa"/>
            <w:gridSpan w:val="7"/>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十、国家需要重点扶持的高新技术企业减征企业所得税</w:t>
            </w:r>
          </w:p>
        </w:tc>
        <w:tc>
          <w:tcPr>
            <w:tcW w:w="1091"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421" w:type="dxa"/>
            <w:tcBorders>
              <w:top w:val="single" w:color="auto" w:sz="6" w:space="0"/>
              <w:left w:val="single" w:color="auto" w:sz="12" w:space="0"/>
              <w:bottom w:val="single" w:color="auto" w:sz="12"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32</w:t>
            </w:r>
          </w:p>
        </w:tc>
        <w:tc>
          <w:tcPr>
            <w:tcW w:w="628" w:type="dxa"/>
            <w:vMerge w:val="continue"/>
            <w:tcBorders>
              <w:top w:val="single" w:color="auto" w:sz="6" w:space="0"/>
              <w:left w:val="single" w:color="auto" w:sz="6" w:space="0"/>
              <w:bottom w:val="single" w:color="auto" w:sz="12" w:space="0"/>
              <w:right w:val="single" w:color="auto" w:sz="6" w:space="0"/>
            </w:tcBorders>
            <w:noWrap w:val="0"/>
            <w:vAlign w:val="center"/>
          </w:tcPr>
          <w:p>
            <w:pPr>
              <w:widowControl/>
              <w:jc w:val="left"/>
              <w:rPr>
                <w:rFonts w:ascii="宋体"/>
                <w:kern w:val="0"/>
                <w:sz w:val="20"/>
                <w:szCs w:val="20"/>
              </w:rPr>
            </w:pPr>
          </w:p>
        </w:tc>
        <w:tc>
          <w:tcPr>
            <w:tcW w:w="7516" w:type="dxa"/>
            <w:gridSpan w:val="7"/>
            <w:tcBorders>
              <w:top w:val="single" w:color="auto" w:sz="6" w:space="0"/>
              <w:left w:val="single" w:color="auto" w:sz="6" w:space="0"/>
              <w:bottom w:val="single" w:color="auto" w:sz="12" w:space="0"/>
              <w:right w:val="single" w:color="auto" w:sz="6" w:space="0"/>
            </w:tcBorders>
            <w:noWrap w:val="0"/>
            <w:vAlign w:val="center"/>
          </w:tcPr>
          <w:p>
            <w:pPr>
              <w:widowControl/>
              <w:jc w:val="left"/>
              <w:rPr>
                <w:rFonts w:ascii="宋体"/>
                <w:kern w:val="0"/>
                <w:sz w:val="20"/>
                <w:szCs w:val="20"/>
              </w:rPr>
            </w:pPr>
            <w:r>
              <w:rPr>
                <w:rFonts w:hint="eastAsia" w:ascii="宋体" w:hAnsi="宋体" w:cs="宋体"/>
                <w:kern w:val="0"/>
                <w:sz w:val="20"/>
                <w:szCs w:val="20"/>
              </w:rPr>
              <w:t>十一、经济特区和上海浦东新区新设立的高新技术企业定期减免税额</w:t>
            </w:r>
          </w:p>
        </w:tc>
        <w:tc>
          <w:tcPr>
            <w:tcW w:w="1091" w:type="dxa"/>
            <w:tcBorders>
              <w:top w:val="single" w:color="auto" w:sz="6" w:space="0"/>
              <w:left w:val="single" w:color="auto" w:sz="6" w:space="0"/>
              <w:bottom w:val="single" w:color="auto" w:sz="12" w:space="0"/>
              <w:right w:val="single" w:color="auto" w:sz="12" w:space="0"/>
            </w:tcBorders>
            <w:noWrap w:val="0"/>
            <w:vAlign w:val="center"/>
          </w:tcPr>
          <w:p>
            <w:pPr>
              <w:widowControl/>
              <w:jc w:val="right"/>
              <w:rPr>
                <w:rFonts w:ascii="宋体"/>
                <w:kern w:val="0"/>
                <w:sz w:val="20"/>
                <w:szCs w:val="20"/>
              </w:rPr>
            </w:pPr>
          </w:p>
        </w:tc>
      </w:tr>
    </w:tbl>
    <w:p>
      <w:pPr>
        <w:bidi w:val="0"/>
        <w:rPr>
          <w:rFonts w:hint="eastAsia" w:ascii="微软雅黑" w:hAnsi="微软雅黑" w:eastAsia="微软雅黑" w:cs="微软雅黑"/>
          <w:lang w:eastAsia="zh-CN"/>
        </w:rPr>
      </w:pPr>
    </w:p>
    <w:p>
      <w:pPr>
        <w:pStyle w:val="4"/>
        <w:bidi w:val="0"/>
        <w:rPr>
          <w:rFonts w:hint="eastAsia"/>
          <w:lang w:eastAsia="zh-CN"/>
        </w:rPr>
      </w:pPr>
      <w:r>
        <w:rPr>
          <w:rFonts w:hint="eastAsia"/>
          <w:lang w:eastAsia="zh-CN"/>
        </w:rPr>
        <w:t>A107041</w:t>
      </w:r>
      <w:r>
        <w:rPr>
          <w:rFonts w:hint="eastAsia"/>
          <w:lang w:eastAsia="zh-CN"/>
        </w:rPr>
        <w:tab/>
      </w:r>
      <w:r>
        <w:rPr>
          <w:rFonts w:hint="eastAsia"/>
          <w:lang w:eastAsia="zh-CN"/>
        </w:rPr>
        <w:t>《高新技术企业优惠情况及明细表》填报说明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本表适用于具备高新技术企业资格的纳税人填报。纳税人根据税法、《科技部 财政部 国家税务总局关于修订印发〈高新技术企业认定管理办法〉的通知》（国科发火〔2016〕32号）、《科学技术部 财政部 国家税务总局关于修订印发〈高新技术企业认定管理工作指引〉的通知》（国科发火〔2016〕195号）、《国家税务总局关于实施高新技术企业所得税优惠政策有关问题的公告》（国家税务总局公告2017年第24号）等相关税收政策规定，填报高新技术企业基本信息和本年优惠情况。不论是否享受优惠政策，高新技术企业资格在有效期内的纳税人均需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1行至第3行：“企业主要产品（服务）发挥核心支持作用的技术所属范围”：填报对企业主要产品（服务）发挥核心支持作用的技术属于《国家重点支持的高新技术领域》规定的具体范围，填报至三级明细领域，如“一、电子信息技术（一）软件1、系统软件”。</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2、第4行“一、本年高新技术产品（服务）收入”：填报第5+6行金额。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3、第5行“产品（服务）收入”：填报纳税人本年发挥核心支持作用的技术属于《国家重点支持的高新技术领域》规定范围的产品（服务）收入。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4、第6行“技术性收入”：包括技术转让收入、技术服务收入和接受委托研究开发收入。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5、第7行“二、本年企业总收入”：填报第8-9行金额。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8行“（一）收入总额”：填报纳税人本年以货币形式和非货币形式从各种来源取得的收入总额。包括：销售货物收入，提供劳务收入，转让财产收入，股息、红利等权益性投资收益，利息收入，租金收入，特许权使用费收入，接受捐赠收入，其他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7、第9行“不征税收入”：填报纳税人本年符合相关政策规定的不征税收入。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8、第10行“三、本年高新技术产品（服务）收入占企业总收入的比例”：填报第4÷7行计算后的比例。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9、第11行“四、本年科技人员数”：填报纳税人直接从事研发和相关技术创新活动，以及专门从事上述活动的管理和提供直接技术服务的，累计实际工作时间在183天以上的人员，包括在职、兼职和临时聘用人员。</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10、第12行“五、本年职工总数”：填报纳税人本年在职、兼职和临时聘用人员。在职人员可以通过企业是否签订劳动合同或缴纳社会保险费来判断。兼职、临时聘用人员全年须在企业累计工作183天以上。</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11、第13行“六、本年科技人员占企业当年职工总数的比例”：填报第11÷12行的比例。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12、第14行“高新研发费用归集年度”：本行无填报事项。与计算研发费比例相关的第15行至第29行需填报三年数据，实际经营不满三年的按实际经营时间填报。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13、第15行“七、本年归集的高新研发费用金额”：填报第16+25行金额。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14、第16行“（一）内部研究开发投入”：填报第17+18+19+20+21+22+24行金额。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15、第17行“1、人员人工费用”：填报纳税人科技人员的工资薪金、基本养老保险费、基本医疗保险费、失业保险费、工伤保险费、生育保险费和住房公积金，以及外聘科技人员的劳务费用。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16、第18行“2、直接投入费用”：填报纳税人为实施研究开发活动而实际发生的相关支出。包括：直接消耗的材料、燃料和动力费用；用于中间试验和产品试制的模具、工艺装备开发及制造费，不构成固定资产的样品、样机及一般测试手段购置费，试制产品的检验费；用于研究开发活动的仪器、设备的运行维护、调整、检验、检测、维修等费用，以及通过经营租赁方式租入的用于研发活动的固定资产租赁费。</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17、第19行“3、折旧费用与长期待摊费用”：填报纳税人用于研究开发活动的仪器、设备和在用建筑物的折旧费；研发设施的改建、改装、装修和修理过程中发生的长期待摊费用。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18、第20行“4、无形资产摊销费用”：填报纳税人用于研究开发活动的软件、知识产权、非专利技术（专有技术、许可证、设计和计算方法等）的摊销费用。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19、第21行“5、设计费用”：填报纳税人为新产品和新工艺进行构思、开发和制造，进行工序、技术规范、规程制定、操作特性方面的设计等发生的费用，包括为获得创新性、创意性、突破性产品进行的创意设计活动发生的相关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20、第22行“6、装备调试费与实验费用”：填报纳税人工装准备过程中研究开发活动所发生的费用，包括研制特殊、专用的生产机器，改变生产和质量控制程序，或制定新方法及标准等活动所发生的费用。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21、第23行“7、其他费用”：填报纳税人与研究开发活动直接相关的其他费用，包括技术图书资料费、资料翻译费、专家咨询费、高新科技研发保险费，研发成果的检索、论证、评审、鉴定、验收费用，知识产权的申请费、注册费、代理费，会议费、差旅费、通讯费等。</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22、第24行“可计入研发费用的其他费用”：填报纳税人为研究开发活动所发生的其他费用中不超过研究开发总费用的20%的金额，按第17行至第22行之和×20%÷(1-20%)与第23行的孰小值填报。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23、第25行“（二）委托外部研发费用”：填报纳税人委托境内外其他机构或个人进行研究开发活动所发生的费用（研究开发活动成果为委托方企业拥有，且与该企业的主要经营业务紧密相关）。委托外部研发费用的实际发生额应按照独立交易原则确定，实际发生额的80%可计入委托方研发费用总额。本行填报（第26+28行）×80%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24、第26行“1、境内的外部研发费用”：填报纳税人委托境内其他机构或个人进行的研究开发活动所支出的费用。本行填报实际发生境内的外部研发费用。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25、第27行“2、境外的外部研发费用”：填报纳税人委托境外机构或个人完成的研究开发活动所发生的费用。受托研发的境外机构是指依照外国(地区)及港澳台法律成立的企业和其他取得收入的组织；受托研发的境外个人是指外籍及港澳台个人。本行填报实际发生境外的外部研发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26、第28行“可计入研发费用的境外的外部研发费用”：根据《高新技术企业认定管理办法》等规定，纳税人在中国境内发生的研发费用总额占全部研发费用总额的比例不低于60%，即境外发生的研发费用总额占全部研发费用总额的比例不超过40%。本行填报（第17+18+…+22+23+26行）×40%÷(1-40%)与第27行的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27、第29行“八、销售（营业）收入”：填报纳税人主营业务收入与其他业务收入之和。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28、第30行“九、三年研发费用占销售（营业）收入的比例”：填报第15行4列÷第29行4列的比例。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29、第31行“十、国家需要重点扶持的高新技术企业减征企业所得税”：本行填报经济特区和上海浦东新区外的高新技术企业或虽是经济特区和上海浦东新区新设的高新技术企业但取得区外所得的减免税金额。经济特区和上海浦东新区新设的高新技术企业定期减免政策期满后，只享受15%税率优惠政策的，减免税金额也在本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30、第32行“十一、经济特区和上海浦东新区新设立的高新技术企业定期减免”：本行填报在经济特区和上海浦东新区新设的高新技术企业区内所得的减免税金额。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1、第4行＝第5+6行。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2、第7行＝第8-9行。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3、第10行＝第4÷7行。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4、第13行＝第11÷12行。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5、第15行＝第16+25行。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6、第16行＝第17+18+19+20+21+22+24行。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7、第25行＝（第26+28行）×80%。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8、第30行＝第15行第4列÷第29行第4列。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1、第31行＝表A107040第2行。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2、第32行＝表A107040第3行。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sz w:val="21"/>
          <w:szCs w:val="21"/>
          <w:lang w:eastAsia="zh-CN"/>
        </w:rPr>
      </w:pPr>
    </w:p>
    <w:p>
      <w:pPr>
        <w:pStyle w:val="3"/>
        <w:bidi w:val="0"/>
        <w:rPr>
          <w:rFonts w:hint="eastAsia"/>
          <w:lang w:eastAsia="zh-CN"/>
        </w:rPr>
      </w:pPr>
      <w:r>
        <w:rPr>
          <w:rFonts w:hint="eastAsia"/>
          <w:lang w:eastAsia="zh-CN"/>
        </w:rPr>
        <w:t>A107042</w:t>
      </w:r>
      <w:r>
        <w:rPr>
          <w:rFonts w:hint="eastAsia"/>
          <w:lang w:eastAsia="zh-CN"/>
        </w:rPr>
        <w:tab/>
      </w:r>
      <w:r>
        <w:rPr>
          <w:rFonts w:hint="eastAsia"/>
          <w:lang w:eastAsia="zh-CN"/>
        </w:rPr>
        <w:t>软件、集成电路企业优惠情况及明细表</w:t>
      </w:r>
    </w:p>
    <w:tbl>
      <w:tblPr>
        <w:tblStyle w:val="8"/>
        <w:tblW w:w="9932" w:type="dxa"/>
        <w:tblInd w:w="43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20"/>
        <w:gridCol w:w="641"/>
        <w:gridCol w:w="1276"/>
        <w:gridCol w:w="2268"/>
        <w:gridCol w:w="3402"/>
        <w:gridCol w:w="172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trPr>
        <w:tc>
          <w:tcPr>
            <w:tcW w:w="9932" w:type="dxa"/>
            <w:gridSpan w:val="6"/>
            <w:tcBorders>
              <w:bottom w:val="single" w:color="000000" w:sz="4" w:space="0"/>
            </w:tcBorders>
            <w:noWrap w:val="0"/>
            <w:vAlign w:val="top"/>
          </w:tcPr>
          <w:p>
            <w:pPr>
              <w:pStyle w:val="11"/>
              <w:spacing w:before="37"/>
              <w:ind w:left="4064" w:right="4030"/>
              <w:jc w:val="center"/>
              <w:rPr>
                <w:b/>
                <w:sz w:val="22"/>
              </w:rPr>
            </w:pPr>
            <w:r>
              <w:rPr>
                <w:b/>
                <w:sz w:val="22"/>
              </w:rPr>
              <w:t>税收优惠基本信息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0" w:hRule="atLeast"/>
        </w:trPr>
        <w:tc>
          <w:tcPr>
            <w:tcW w:w="2537" w:type="dxa"/>
            <w:gridSpan w:val="3"/>
            <w:tcBorders>
              <w:top w:val="single" w:color="000000" w:sz="4" w:space="0"/>
              <w:bottom w:val="single" w:color="000000" w:sz="4" w:space="0"/>
              <w:right w:val="single" w:color="000000" w:sz="4" w:space="0"/>
            </w:tcBorders>
            <w:noWrap w:val="0"/>
            <w:vAlign w:val="top"/>
          </w:tcPr>
          <w:p>
            <w:pPr>
              <w:pStyle w:val="11"/>
              <w:spacing w:before="37"/>
              <w:ind w:left="386"/>
              <w:rPr>
                <w:b/>
                <w:sz w:val="22"/>
              </w:rPr>
            </w:pPr>
            <w:r>
              <w:rPr>
                <w:b/>
                <w:sz w:val="22"/>
              </w:rPr>
              <w:t>选择适用优惠政策</w:t>
            </w:r>
          </w:p>
        </w:tc>
        <w:tc>
          <w:tcPr>
            <w:tcW w:w="7395" w:type="dxa"/>
            <w:gridSpan w:val="3"/>
            <w:tcBorders>
              <w:top w:val="single" w:color="000000" w:sz="4" w:space="0"/>
              <w:left w:val="single" w:color="000000" w:sz="4" w:space="0"/>
              <w:bottom w:val="single" w:color="000000" w:sz="4" w:space="0"/>
            </w:tcBorders>
            <w:noWrap w:val="0"/>
            <w:vAlign w:val="top"/>
          </w:tcPr>
          <w:p>
            <w:pPr>
              <w:pStyle w:val="11"/>
              <w:tabs>
                <w:tab w:val="left" w:pos="3236"/>
              </w:tabs>
              <w:spacing w:before="37"/>
              <w:ind w:left="54"/>
              <w:jc w:val="center"/>
              <w:rPr>
                <w:b/>
                <w:sz w:val="22"/>
              </w:rPr>
            </w:pPr>
            <w:r>
              <w:rPr>
                <w:sz w:val="20"/>
              </w:rPr>
              <w:t>□</w:t>
            </w:r>
            <w:r>
              <w:rPr>
                <w:b/>
                <w:sz w:val="22"/>
              </w:rPr>
              <w:t>延续适用原有优惠政策</w:t>
            </w:r>
            <w:r>
              <w:rPr>
                <w:b/>
                <w:sz w:val="22"/>
              </w:rPr>
              <w:tab/>
            </w:r>
            <w:r>
              <w:rPr>
                <w:sz w:val="20"/>
              </w:rPr>
              <w:t>□</w:t>
            </w:r>
            <w:r>
              <w:rPr>
                <w:b/>
                <w:sz w:val="22"/>
              </w:rPr>
              <w:t>适用新出台优惠政策</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5" w:hRule="atLeast"/>
        </w:trPr>
        <w:tc>
          <w:tcPr>
            <w:tcW w:w="2537" w:type="dxa"/>
            <w:gridSpan w:val="3"/>
            <w:tcBorders>
              <w:top w:val="single" w:color="000000" w:sz="4" w:space="0"/>
              <w:bottom w:val="single" w:color="000000" w:sz="4" w:space="0"/>
              <w:right w:val="single" w:color="000000" w:sz="4" w:space="0"/>
            </w:tcBorders>
            <w:noWrap w:val="0"/>
            <w:vAlign w:val="top"/>
          </w:tcPr>
          <w:p>
            <w:pPr>
              <w:pStyle w:val="11"/>
              <w:spacing w:before="18"/>
              <w:ind w:left="108"/>
              <w:rPr>
                <w:sz w:val="20"/>
              </w:rPr>
            </w:pPr>
            <w:r>
              <w:rPr>
                <w:sz w:val="20"/>
              </w:rPr>
              <w:t>减免方式 1</w:t>
            </w:r>
          </w:p>
        </w:tc>
        <w:tc>
          <w:tcPr>
            <w:tcW w:w="2268"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3402"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8"/>
              <w:ind w:left="118"/>
              <w:rPr>
                <w:sz w:val="20"/>
              </w:rPr>
            </w:pPr>
            <w:r>
              <w:rPr>
                <w:sz w:val="20"/>
              </w:rPr>
              <w:t>获利年度\开始计算优惠期年度 1</w:t>
            </w:r>
          </w:p>
        </w:tc>
        <w:tc>
          <w:tcPr>
            <w:tcW w:w="1725" w:type="dxa"/>
            <w:tcBorders>
              <w:top w:val="single" w:color="000000" w:sz="4" w:space="0"/>
              <w:left w:val="single" w:color="000000" w:sz="4" w:space="0"/>
              <w:bottom w:val="single" w:color="000000" w:sz="4"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4" w:hRule="atLeast"/>
        </w:trPr>
        <w:tc>
          <w:tcPr>
            <w:tcW w:w="2537" w:type="dxa"/>
            <w:gridSpan w:val="3"/>
            <w:tcBorders>
              <w:top w:val="single" w:color="000000" w:sz="4" w:space="0"/>
              <w:right w:val="single" w:color="000000" w:sz="4" w:space="0"/>
            </w:tcBorders>
            <w:noWrap w:val="0"/>
            <w:vAlign w:val="top"/>
          </w:tcPr>
          <w:p>
            <w:pPr>
              <w:pStyle w:val="11"/>
              <w:spacing w:before="18"/>
              <w:ind w:left="108"/>
              <w:rPr>
                <w:sz w:val="20"/>
              </w:rPr>
            </w:pPr>
            <w:r>
              <w:rPr>
                <w:sz w:val="20"/>
              </w:rPr>
              <w:t>减免方式 2…</w:t>
            </w:r>
          </w:p>
        </w:tc>
        <w:tc>
          <w:tcPr>
            <w:tcW w:w="2268" w:type="dxa"/>
            <w:tcBorders>
              <w:top w:val="single" w:color="000000" w:sz="4" w:space="0"/>
              <w:left w:val="single" w:color="000000" w:sz="4" w:space="0"/>
              <w:right w:val="single" w:color="000000" w:sz="4" w:space="0"/>
            </w:tcBorders>
            <w:noWrap w:val="0"/>
            <w:vAlign w:val="top"/>
          </w:tcPr>
          <w:p>
            <w:pPr>
              <w:pStyle w:val="11"/>
              <w:rPr>
                <w:rFonts w:ascii="Times New Roman"/>
                <w:sz w:val="20"/>
              </w:rPr>
            </w:pPr>
          </w:p>
        </w:tc>
        <w:tc>
          <w:tcPr>
            <w:tcW w:w="3402" w:type="dxa"/>
            <w:tcBorders>
              <w:top w:val="single" w:color="000000" w:sz="4" w:space="0"/>
              <w:left w:val="single" w:color="000000" w:sz="4" w:space="0"/>
              <w:right w:val="single" w:color="000000" w:sz="4" w:space="0"/>
            </w:tcBorders>
            <w:noWrap w:val="0"/>
            <w:vAlign w:val="top"/>
          </w:tcPr>
          <w:p>
            <w:pPr>
              <w:pStyle w:val="11"/>
              <w:spacing w:before="18"/>
              <w:ind w:left="118"/>
              <w:rPr>
                <w:sz w:val="20"/>
              </w:rPr>
            </w:pPr>
            <w:r>
              <w:rPr>
                <w:sz w:val="20"/>
              </w:rPr>
              <w:t>获利年度\开始计算优惠期年度 2…</w:t>
            </w:r>
          </w:p>
        </w:tc>
        <w:tc>
          <w:tcPr>
            <w:tcW w:w="1725" w:type="dxa"/>
            <w:tcBorders>
              <w:top w:val="single" w:color="000000" w:sz="4" w:space="0"/>
              <w:left w:val="single" w:color="000000" w:sz="4"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6" w:hRule="atLeast"/>
        </w:trPr>
        <w:tc>
          <w:tcPr>
            <w:tcW w:w="9932" w:type="dxa"/>
            <w:gridSpan w:val="6"/>
            <w:tcBorders>
              <w:bottom w:val="single" w:color="000000" w:sz="6" w:space="0"/>
            </w:tcBorders>
            <w:noWrap w:val="0"/>
            <w:vAlign w:val="top"/>
          </w:tcPr>
          <w:p>
            <w:pPr>
              <w:pStyle w:val="11"/>
              <w:spacing w:before="52"/>
              <w:ind w:left="4064" w:right="4030"/>
              <w:jc w:val="center"/>
              <w:rPr>
                <w:b/>
                <w:sz w:val="22"/>
              </w:rPr>
            </w:pPr>
            <w:r>
              <w:rPr>
                <w:b/>
                <w:sz w:val="22"/>
              </w:rPr>
              <w:t>税收优惠有关情况</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4"/>
              <w:ind w:left="87" w:right="70"/>
              <w:jc w:val="center"/>
              <w:rPr>
                <w:sz w:val="20"/>
              </w:rPr>
            </w:pPr>
            <w:r>
              <w:rPr>
                <w:sz w:val="20"/>
              </w:rPr>
              <w:t>行次</w:t>
            </w:r>
          </w:p>
        </w:tc>
        <w:tc>
          <w:tcPr>
            <w:tcW w:w="7587" w:type="dxa"/>
            <w:gridSpan w:val="4"/>
            <w:tcBorders>
              <w:top w:val="single" w:color="000000" w:sz="6" w:space="0"/>
              <w:left w:val="single" w:color="000000" w:sz="6" w:space="0"/>
              <w:bottom w:val="single" w:color="000000" w:sz="6" w:space="0"/>
              <w:right w:val="single" w:color="000000" w:sz="6" w:space="0"/>
            </w:tcBorders>
            <w:noWrap w:val="0"/>
            <w:vAlign w:val="top"/>
          </w:tcPr>
          <w:p>
            <w:pPr>
              <w:pStyle w:val="11"/>
              <w:tabs>
                <w:tab w:val="left" w:pos="1026"/>
              </w:tabs>
              <w:spacing w:before="84"/>
              <w:ind w:left="25"/>
              <w:jc w:val="center"/>
              <w:rPr>
                <w:sz w:val="20"/>
              </w:rPr>
            </w:pPr>
            <w:r>
              <w:rPr>
                <w:sz w:val="20"/>
              </w:rPr>
              <w:t>项</w:t>
            </w:r>
            <w:r>
              <w:rPr>
                <w:sz w:val="20"/>
              </w:rPr>
              <w:tab/>
            </w:r>
            <w:r>
              <w:rPr>
                <w:sz w:val="20"/>
              </w:rPr>
              <w:t>目</w:t>
            </w:r>
          </w:p>
        </w:tc>
        <w:tc>
          <w:tcPr>
            <w:tcW w:w="1725" w:type="dxa"/>
            <w:tcBorders>
              <w:top w:val="single" w:color="000000" w:sz="6" w:space="0"/>
              <w:left w:val="single" w:color="000000" w:sz="6" w:space="0"/>
              <w:bottom w:val="single" w:color="000000" w:sz="6" w:space="0"/>
            </w:tcBorders>
            <w:noWrap w:val="0"/>
            <w:vAlign w:val="top"/>
          </w:tcPr>
          <w:p>
            <w:pPr>
              <w:pStyle w:val="11"/>
              <w:spacing w:before="84"/>
              <w:ind w:left="647" w:right="614"/>
              <w:jc w:val="center"/>
              <w:rPr>
                <w:sz w:val="20"/>
              </w:rPr>
            </w:pPr>
            <w:r>
              <w:rPr>
                <w:sz w:val="20"/>
              </w:rPr>
              <w:t>金额</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3"/>
              <w:ind w:left="21"/>
              <w:jc w:val="center"/>
              <w:rPr>
                <w:sz w:val="20"/>
              </w:rPr>
            </w:pPr>
            <w:r>
              <w:rPr>
                <w:w w:val="99"/>
                <w:sz w:val="20"/>
              </w:rPr>
              <w:t>1</w:t>
            </w:r>
          </w:p>
        </w:tc>
        <w:tc>
          <w:tcPr>
            <w:tcW w:w="64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20"/>
              </w:rPr>
            </w:pPr>
          </w:p>
          <w:p>
            <w:pPr>
              <w:pStyle w:val="11"/>
              <w:spacing w:before="139"/>
              <w:ind w:left="115" w:right="110"/>
              <w:rPr>
                <w:sz w:val="20"/>
              </w:rPr>
            </w:pPr>
            <w:r>
              <w:rPr>
                <w:sz w:val="20"/>
              </w:rPr>
              <w:t>人员指标</w:t>
            </w: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3"/>
              <w:ind w:left="114"/>
              <w:rPr>
                <w:sz w:val="20"/>
              </w:rPr>
            </w:pPr>
            <w:r>
              <w:rPr>
                <w:sz w:val="20"/>
              </w:rPr>
              <w:t>一、企业本年月平均职工总人数</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2"/>
              <w:ind w:left="21"/>
              <w:jc w:val="center"/>
              <w:rPr>
                <w:sz w:val="20"/>
              </w:rPr>
            </w:pPr>
            <w:r>
              <w:rPr>
                <w:w w:val="99"/>
                <w:sz w:val="20"/>
              </w:rPr>
              <w:t>2</w:t>
            </w:r>
          </w:p>
        </w:tc>
        <w:tc>
          <w:tcPr>
            <w:tcW w:w="64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2"/>
              <w:ind w:left="515"/>
              <w:rPr>
                <w:sz w:val="20"/>
              </w:rPr>
            </w:pPr>
            <w:r>
              <w:rPr>
                <w:sz w:val="20"/>
              </w:rPr>
              <w:t>其中：签订劳动合同关系且具有大学专科以上学历的职工人数</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4"/>
              <w:ind w:left="21"/>
              <w:jc w:val="center"/>
              <w:rPr>
                <w:sz w:val="20"/>
              </w:rPr>
            </w:pPr>
            <w:r>
              <w:rPr>
                <w:w w:val="99"/>
                <w:sz w:val="20"/>
              </w:rPr>
              <w:t>3</w:t>
            </w:r>
          </w:p>
        </w:tc>
        <w:tc>
          <w:tcPr>
            <w:tcW w:w="64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4"/>
              <w:ind w:left="1115"/>
              <w:rPr>
                <w:sz w:val="20"/>
              </w:rPr>
            </w:pPr>
            <w:r>
              <w:rPr>
                <w:sz w:val="20"/>
              </w:rPr>
              <w:t>研究开发人员人数</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3"/>
              <w:ind w:left="21"/>
              <w:jc w:val="center"/>
              <w:rPr>
                <w:sz w:val="20"/>
              </w:rPr>
            </w:pPr>
            <w:r>
              <w:rPr>
                <w:w w:val="99"/>
                <w:sz w:val="20"/>
              </w:rPr>
              <w:t>4</w:t>
            </w:r>
          </w:p>
        </w:tc>
        <w:tc>
          <w:tcPr>
            <w:tcW w:w="64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spacing w:before="45" w:line="242" w:lineRule="auto"/>
              <w:ind w:left="127" w:right="98"/>
              <w:jc w:val="both"/>
              <w:rPr>
                <w:sz w:val="20"/>
              </w:rPr>
            </w:pPr>
            <w:r>
              <w:rPr>
                <w:sz w:val="20"/>
              </w:rPr>
              <w:t>研发费用指标</w:t>
            </w: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3"/>
              <w:ind w:left="114"/>
              <w:rPr>
                <w:sz w:val="20"/>
              </w:rPr>
            </w:pPr>
            <w:r>
              <w:rPr>
                <w:sz w:val="20"/>
              </w:rPr>
              <w:t>二、研发费用总额</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2"/>
              <w:ind w:left="21"/>
              <w:jc w:val="center"/>
              <w:rPr>
                <w:sz w:val="20"/>
              </w:rPr>
            </w:pPr>
            <w:r>
              <w:rPr>
                <w:w w:val="99"/>
                <w:sz w:val="20"/>
              </w:rPr>
              <w:t>5</w:t>
            </w:r>
          </w:p>
        </w:tc>
        <w:tc>
          <w:tcPr>
            <w:tcW w:w="64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2"/>
              <w:ind w:left="515"/>
              <w:rPr>
                <w:sz w:val="20"/>
              </w:rPr>
            </w:pPr>
            <w:r>
              <w:rPr>
                <w:sz w:val="20"/>
              </w:rPr>
              <w:t>其中：企业在中国境内发生的研发费用金额</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6" w:hRule="atLeast"/>
        </w:trPr>
        <w:tc>
          <w:tcPr>
            <w:tcW w:w="620" w:type="dxa"/>
            <w:tcBorders>
              <w:top w:val="single" w:color="000000" w:sz="6" w:space="0"/>
              <w:bottom w:val="single" w:color="000000" w:sz="6" w:space="0"/>
              <w:right w:val="single" w:color="000000" w:sz="6" w:space="0"/>
            </w:tcBorders>
            <w:noWrap w:val="0"/>
            <w:vAlign w:val="top"/>
          </w:tcPr>
          <w:p>
            <w:pPr>
              <w:pStyle w:val="11"/>
              <w:spacing w:before="134"/>
              <w:ind w:left="21"/>
              <w:jc w:val="center"/>
              <w:rPr>
                <w:sz w:val="20"/>
              </w:rPr>
            </w:pPr>
            <w:r>
              <w:rPr>
                <w:w w:val="99"/>
                <w:sz w:val="20"/>
              </w:rPr>
              <w:t>6</w:t>
            </w:r>
          </w:p>
        </w:tc>
        <w:tc>
          <w:tcPr>
            <w:tcW w:w="64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spacing w:before="5"/>
              <w:rPr>
                <w:b/>
                <w:sz w:val="17"/>
              </w:rPr>
            </w:pPr>
          </w:p>
          <w:p>
            <w:pPr>
              <w:pStyle w:val="11"/>
              <w:spacing w:line="242" w:lineRule="auto"/>
              <w:ind w:left="127" w:right="98"/>
              <w:rPr>
                <w:sz w:val="20"/>
              </w:rPr>
            </w:pPr>
            <w:r>
              <w:rPr>
                <w:sz w:val="20"/>
              </w:rPr>
              <w:t>收入指标</w:t>
            </w: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134"/>
              <w:ind w:left="114"/>
              <w:rPr>
                <w:sz w:val="20"/>
              </w:rPr>
            </w:pPr>
            <w:r>
              <w:rPr>
                <w:sz w:val="20"/>
              </w:rPr>
              <w:t>三、企业收入总额</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3"/>
              <w:ind w:left="21"/>
              <w:jc w:val="center"/>
              <w:rPr>
                <w:sz w:val="20"/>
              </w:rPr>
            </w:pPr>
            <w:r>
              <w:rPr>
                <w:w w:val="99"/>
                <w:sz w:val="20"/>
              </w:rPr>
              <w:t>7</w:t>
            </w:r>
          </w:p>
        </w:tc>
        <w:tc>
          <w:tcPr>
            <w:tcW w:w="64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spacing w:before="83"/>
              <w:ind w:left="114"/>
              <w:rPr>
                <w:sz w:val="20"/>
              </w:rPr>
            </w:pPr>
            <w:r>
              <w:rPr>
                <w:sz w:val="20"/>
              </w:rPr>
              <w:t>四、符合条件的销售（营业）收入</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2"/>
              <w:ind w:left="21"/>
              <w:jc w:val="center"/>
              <w:rPr>
                <w:sz w:val="20"/>
              </w:rPr>
            </w:pPr>
            <w:r>
              <w:rPr>
                <w:w w:val="99"/>
                <w:sz w:val="20"/>
              </w:rPr>
              <w:t>8</w:t>
            </w:r>
          </w:p>
        </w:tc>
        <w:tc>
          <w:tcPr>
            <w:tcW w:w="64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20"/>
              </w:rPr>
            </w:pPr>
          </w:p>
          <w:p>
            <w:pPr>
              <w:pStyle w:val="11"/>
              <w:spacing w:before="138" w:line="242" w:lineRule="auto"/>
              <w:ind w:left="115" w:right="110"/>
              <w:rPr>
                <w:sz w:val="20"/>
              </w:rPr>
            </w:pPr>
            <w:r>
              <w:rPr>
                <w:sz w:val="20"/>
              </w:rPr>
              <w:t>其他指标</w:t>
            </w: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tabs>
                <w:tab w:val="left" w:pos="2865"/>
              </w:tabs>
              <w:spacing w:before="82"/>
              <w:ind w:left="114"/>
              <w:rPr>
                <w:sz w:val="20"/>
              </w:rPr>
            </w:pPr>
            <w:r>
              <w:rPr>
                <w:sz w:val="20"/>
              </w:rPr>
              <w:t>五、其他</w:t>
            </w:r>
            <w:r>
              <w:rPr>
                <w:spacing w:val="-51"/>
                <w:sz w:val="20"/>
              </w:rPr>
              <w:t xml:space="preserve"> </w:t>
            </w:r>
            <w:r>
              <w:rPr>
                <w:sz w:val="20"/>
              </w:rPr>
              <w:t>1（指标名称：</w:t>
            </w:r>
            <w:r>
              <w:rPr>
                <w:sz w:val="20"/>
                <w:u w:val="single"/>
              </w:rPr>
              <w:t xml:space="preserve"> </w:t>
            </w:r>
            <w:r>
              <w:rPr>
                <w:sz w:val="20"/>
                <w:u w:val="single"/>
              </w:rPr>
              <w:tab/>
            </w:r>
            <w:r>
              <w:rPr>
                <w:sz w:val="20"/>
              </w:rPr>
              <w:t>）</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4"/>
              <w:ind w:left="21"/>
              <w:jc w:val="center"/>
              <w:rPr>
                <w:sz w:val="20"/>
              </w:rPr>
            </w:pPr>
            <w:r>
              <w:rPr>
                <w:w w:val="99"/>
                <w:sz w:val="20"/>
              </w:rPr>
              <w:t>9</w:t>
            </w:r>
          </w:p>
        </w:tc>
        <w:tc>
          <w:tcPr>
            <w:tcW w:w="64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tabs>
                <w:tab w:val="left" w:pos="2865"/>
              </w:tabs>
              <w:spacing w:before="84"/>
              <w:ind w:left="114"/>
              <w:rPr>
                <w:sz w:val="20"/>
              </w:rPr>
            </w:pPr>
            <w:r>
              <w:rPr>
                <w:sz w:val="20"/>
              </w:rPr>
              <w:t>六、其他</w:t>
            </w:r>
            <w:r>
              <w:rPr>
                <w:spacing w:val="-51"/>
                <w:sz w:val="20"/>
              </w:rPr>
              <w:t xml:space="preserve"> </w:t>
            </w:r>
            <w:r>
              <w:rPr>
                <w:sz w:val="20"/>
              </w:rPr>
              <w:t>2（指标名称：</w:t>
            </w:r>
            <w:r>
              <w:rPr>
                <w:sz w:val="20"/>
                <w:u w:val="single"/>
              </w:rPr>
              <w:t xml:space="preserve"> </w:t>
            </w:r>
            <w:r>
              <w:rPr>
                <w:sz w:val="20"/>
                <w:u w:val="single"/>
              </w:rPr>
              <w:tab/>
            </w:r>
            <w:r>
              <w:rPr>
                <w:sz w:val="20"/>
              </w:rPr>
              <w:t>）</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620" w:type="dxa"/>
            <w:tcBorders>
              <w:top w:val="single" w:color="000000" w:sz="6" w:space="0"/>
              <w:bottom w:val="single" w:color="000000" w:sz="6" w:space="0"/>
              <w:right w:val="single" w:color="000000" w:sz="6" w:space="0"/>
            </w:tcBorders>
            <w:noWrap w:val="0"/>
            <w:vAlign w:val="top"/>
          </w:tcPr>
          <w:p>
            <w:pPr>
              <w:pStyle w:val="11"/>
              <w:spacing w:before="83"/>
              <w:ind w:left="87" w:right="66"/>
              <w:jc w:val="center"/>
              <w:rPr>
                <w:sz w:val="20"/>
              </w:rPr>
            </w:pPr>
            <w:r>
              <w:rPr>
                <w:sz w:val="20"/>
              </w:rPr>
              <w:t>10</w:t>
            </w:r>
          </w:p>
        </w:tc>
        <w:tc>
          <w:tcPr>
            <w:tcW w:w="64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6946" w:type="dxa"/>
            <w:gridSpan w:val="3"/>
            <w:tcBorders>
              <w:top w:val="single" w:color="000000" w:sz="6" w:space="0"/>
              <w:left w:val="single" w:color="000000" w:sz="6" w:space="0"/>
              <w:bottom w:val="single" w:color="000000" w:sz="6" w:space="0"/>
              <w:right w:val="single" w:color="000000" w:sz="6" w:space="0"/>
            </w:tcBorders>
            <w:noWrap w:val="0"/>
            <w:vAlign w:val="top"/>
          </w:tcPr>
          <w:p>
            <w:pPr>
              <w:pStyle w:val="11"/>
              <w:tabs>
                <w:tab w:val="left" w:pos="2865"/>
              </w:tabs>
              <w:spacing w:before="83"/>
              <w:ind w:left="114"/>
              <w:rPr>
                <w:sz w:val="20"/>
              </w:rPr>
            </w:pPr>
            <w:r>
              <w:rPr>
                <w:sz w:val="20"/>
              </w:rPr>
              <w:t>七、其他</w:t>
            </w:r>
            <w:r>
              <w:rPr>
                <w:spacing w:val="-51"/>
                <w:sz w:val="20"/>
              </w:rPr>
              <w:t xml:space="preserve"> </w:t>
            </w:r>
            <w:r>
              <w:rPr>
                <w:sz w:val="20"/>
              </w:rPr>
              <w:t>3（指标名称：</w:t>
            </w:r>
            <w:r>
              <w:rPr>
                <w:sz w:val="20"/>
                <w:u w:val="single"/>
              </w:rPr>
              <w:t xml:space="preserve"> </w:t>
            </w:r>
            <w:r>
              <w:rPr>
                <w:sz w:val="20"/>
                <w:u w:val="single"/>
              </w:rPr>
              <w:tab/>
            </w:r>
            <w:r>
              <w:rPr>
                <w:sz w:val="20"/>
              </w:rPr>
              <w:t>）</w:t>
            </w:r>
          </w:p>
        </w:tc>
        <w:tc>
          <w:tcPr>
            <w:tcW w:w="1725" w:type="dxa"/>
            <w:tcBorders>
              <w:top w:val="single" w:color="000000" w:sz="6" w:space="0"/>
              <w:left w:val="single" w:color="000000" w:sz="6" w:space="0"/>
              <w:bottom w:val="single" w:color="000000" w:sz="6" w:space="0"/>
            </w:tcBorders>
            <w:noWrap w:val="0"/>
            <w:vAlign w:val="top"/>
          </w:tcPr>
          <w:p>
            <w:pPr>
              <w:pStyle w:val="11"/>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2" w:hRule="atLeast"/>
        </w:trPr>
        <w:tc>
          <w:tcPr>
            <w:tcW w:w="620" w:type="dxa"/>
            <w:tcBorders>
              <w:top w:val="single" w:color="000000" w:sz="6" w:space="0"/>
              <w:right w:val="single" w:color="000000" w:sz="6" w:space="0"/>
            </w:tcBorders>
            <w:noWrap w:val="0"/>
            <w:vAlign w:val="top"/>
          </w:tcPr>
          <w:p>
            <w:pPr>
              <w:pStyle w:val="11"/>
              <w:spacing w:before="96"/>
              <w:ind w:left="87" w:right="66"/>
              <w:jc w:val="center"/>
              <w:rPr>
                <w:sz w:val="20"/>
              </w:rPr>
            </w:pPr>
            <w:r>
              <w:rPr>
                <w:sz w:val="20"/>
              </w:rPr>
              <w:t>11</w:t>
            </w:r>
          </w:p>
        </w:tc>
        <w:tc>
          <w:tcPr>
            <w:tcW w:w="7587" w:type="dxa"/>
            <w:gridSpan w:val="4"/>
            <w:tcBorders>
              <w:top w:val="single" w:color="000000" w:sz="6" w:space="0"/>
              <w:left w:val="single" w:color="000000" w:sz="6" w:space="0"/>
              <w:right w:val="single" w:color="000000" w:sz="6" w:space="0"/>
            </w:tcBorders>
            <w:noWrap w:val="0"/>
            <w:vAlign w:val="top"/>
          </w:tcPr>
          <w:p>
            <w:pPr>
              <w:pStyle w:val="11"/>
              <w:spacing w:before="96"/>
              <w:ind w:left="115"/>
              <w:rPr>
                <w:sz w:val="20"/>
              </w:rPr>
            </w:pPr>
            <w:r>
              <w:rPr>
                <w:sz w:val="20"/>
              </w:rPr>
              <w:t>减免税额</w:t>
            </w:r>
          </w:p>
        </w:tc>
        <w:tc>
          <w:tcPr>
            <w:tcW w:w="1725" w:type="dxa"/>
            <w:tcBorders>
              <w:top w:val="single" w:color="000000" w:sz="6" w:space="0"/>
              <w:left w:val="single" w:color="000000" w:sz="6" w:space="0"/>
            </w:tcBorders>
            <w:noWrap w:val="0"/>
            <w:vAlign w:val="top"/>
          </w:tcPr>
          <w:p>
            <w:pPr>
              <w:pStyle w:val="11"/>
              <w:rPr>
                <w:rFonts w:ascii="Times New Roman"/>
                <w:sz w:val="20"/>
              </w:rPr>
            </w:pPr>
          </w:p>
        </w:tc>
      </w:tr>
    </w:tbl>
    <w:p>
      <w:pPr>
        <w:pStyle w:val="4"/>
        <w:bidi w:val="0"/>
        <w:rPr>
          <w:rFonts w:hint="eastAsia"/>
          <w:lang w:eastAsia="zh-CN"/>
        </w:rPr>
      </w:pPr>
      <w:r>
        <w:rPr>
          <w:rFonts w:hint="eastAsia"/>
          <w:lang w:eastAsia="zh-CN"/>
        </w:rPr>
        <w:t>A107042</w:t>
      </w:r>
      <w:r>
        <w:rPr>
          <w:rFonts w:hint="eastAsia"/>
          <w:lang w:eastAsia="zh-CN"/>
        </w:rPr>
        <w:tab/>
      </w:r>
      <w:r>
        <w:rPr>
          <w:rFonts w:hint="eastAsia"/>
          <w:lang w:eastAsia="zh-CN"/>
        </w:rPr>
        <w:t>《软件、集成电路企业优惠情况及明细表》填报说明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本表适用于享受软件、集成电路企业优惠政策的纳税人填报。纳税人根据税法、《财政部 国家税务总局关于进一步鼓励软件产业和集成电路产业发展企业所得税政策的通知》（财税〔2012〕27 号）、《财政部 国家税务总局 发展改革委 工业和信息化部关于软件和集成电路产业企业所得税优惠政策有关问题的通知》（财税〔2016〕49 号）、《财政部 国家税务总局 发展改革委 工业和信息化部关于进一步鼓励集成电路产业发展企业所得税政策的通知》（财税〔2015〕6 号）、《国家发展和改革委员会工业和信息化部 财政部 国家税务总局关于印发国家规划布局内重点软件和集成电路设计领域的通知》（发改高技〔2016〕1056 号）、《财政部 税务总局 国家发展改革委 工业和信息化部关于集成电路生产企业有关企业所得税政策问题的通知》（财税〔2018〕27 号）、《财政部 税务总局关于集成电路设计和软件产业企业所得税政策的公告》（2019 年第 68 号）、《财政部 税务总局关于集成电路设计企业和软件企业 2019 年度企业所得税汇算清缴适用政策的公告》（2020 年第 29 号）、《财政部 税务总局 发展改革委 工业和信息化部关于促进集成电路和软件产业高质量发展企业所得税政策的公告》（2020 年第 45 号）等相关政策规定，填报本年发生的软件、集成电路企业优惠有关情况。</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一、总体填报说明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享受软件、集成电路企业优惠政策的纳税人均需按照企业整体情况填报本表，其中填报《所得减免优惠明细表》（A107020）“七、线宽小于 130 纳米（含）的集成电路生产项目”“八、线宽小于 65 纳米（含）或投资额超过 150 亿元的集成电路生产项目”“九、线宽小于 28 纳米（含）的集成电路生产项目减免企业所得税”减免项目的纳税人，应当填报除本表第 11 行“减免税额”以外的本表其他相应项目。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（一）税收优惠基本信息</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企业以前年度符合软件、集成电路税收优惠政策条件且已开始享受优惠政策的， 可选择延续适用原有优惠政策；符合最新软件、集成电路税收优惠政策条件的，可选择适用新出台的优惠政策。企业根据实际情况在“选择适用优惠政策”中勾选“□延续适用原有优惠政策”或“□适用新出台优惠政策”。</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当集成电路生产企业存在按项目享受时，可根据实际情况填报“减免方式 1”“减免方式 2”…，并同时填报对应的“获利年度\开始计算优惠期年度 1” 和 “获利年度\开始计算优惠期年度 2”…。</w:t>
      </w:r>
    </w:p>
    <w:p>
      <w:pPr>
        <w:keepNext w:val="0"/>
        <w:keepLines w:val="0"/>
        <w:pageBreakBefore w:val="0"/>
        <w:widowControl w:val="0"/>
        <w:numPr>
          <w:ilvl w:val="0"/>
          <w:numId w:val="3"/>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减免方式：纳税人根据《企业所得税年度纳税申报基础信息表》（A000000）“208软件、集成电路企业类型”填报的企业类型和实际经营情况，从《软件、集成电路企业优惠方式代码表》“代码”列中选择相应代码，填入本项。除集成电路生产企业纳税人存在按项目享受优惠的情况外，纳税人仅可从中选择一项填列；若集成电路生产企业纳税人存在多个项目的，应将所有享受优惠的项目减免方式等情况填入本表，项目数量可以增加。</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2、“获利年度\开始计算优惠期年度”：适用选择“二免三减半”“五免五减半”“十免”等定期减免类型的纳税人填报。其中，“开始计算优惠期年度”按照财税〔2012〕 27 号、财税〔2015〕6 号、财税〔2018〕27 号、《财政部 税务总局 发展改革委 工业和信息化部关于促进集成电路和软件产业高质量发展企业所得税政策的公告》（2020 年第 45 号）等文件的相关规定确定。</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（二）税收优惠有关情况</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行“一、企业本年月平均职工总人数”：填报纳税人本年月平均职工总人数。本年月平均职工总人数计算方法：</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月平均人数＝（月初数+月末数）÷2</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全年月平均职工总人数＝全年各月平均数之和÷12</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行“签订劳动合同关系且具有大学专科以上学历的职工人数”：填报纳税人本年签订劳动合同关系且具有大学专科以上学历的职工人数。</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行“研究开发人员人数”：填报纳税人本年研究开发人员人数。</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行“二、研发费用总额”：填报企业按照《财政部 国家税务总局 科技部关于完善研发费用税前加计扣除政策的通知》（财税〔2015〕119 号）、《国家税务总局关于企业研究开发费用税前加计扣除政策有关问题的公告》(2015 年第 97 号)、《国家税务总局关于研发费用税前加计扣除归集范围有关问题的公告》(2017 年第 40 号) 等文件规定口径归集的研发费用。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行“企业在中国境内发生的研发费用金额”：填报纳税人本年在中国境内发生的研发费用。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行“三、企业收入总额”：填报纳税人本年以货币形式和非货币形式从各种来源取得的收入总额。包括：销售货物收入，提供劳务收入，转让财产收入，股息、红利等权益性投资收益，利息收入，租金收入，特许权使用费收入，接受捐赠收入， 其他收入。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行“四、符合条件的销售（营业）收入”：根据企业类型分析填报，具体如下：</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（1）集成电路生产企业：填报本年度集成电路制造销售（营业）收入；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（2）集成电路设计企业：填报本年度集成电路设计销售（营业）收入；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（3）软件企业：一般软件企业填报本年软件产品开发销售（营业）收入；嵌入式或信息系统集成软件企业填报嵌入式软件产品和信息系统集成产品开发销售（营业） 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（4）集成电路封装、测试（含封装测试）企业：填报本年集成电路封装、测试（ 含封装测试）销售（营业）收入；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（5）集成电路材料（含关键专用材料）企业：填报本年集成电路材料（含关键专用材料）销售（营业）收入；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（6）集成电路装备（含专用设备）企业：填报本年集成电路装备（含专用设备） 销售（营业）收入。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8-10 行“其他指标”：填写软件、集成电路企业其他税收优惠有关指标名称及具体情况。</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11 行“减免税额”：填报本年享受集成电路、软件企业优惠的金额。当减免方式为“项目所得二免三减半（免税）”“项目所得二免三减半（减半征收）”“项目所得五免五减半（免税）”“项目所得五免五减半（减半征收）”“项目所得十免（免税）”时，本行无需填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bidi w:val="0"/>
        <w:jc w:val="center"/>
        <w:rPr>
          <w:rFonts w:hint="eastAsia"/>
          <w:b/>
          <w:bCs/>
          <w:lang w:eastAsia="zh-CN"/>
        </w:rPr>
      </w:pPr>
      <w:r>
        <w:rPr>
          <w:rFonts w:hint="eastAsia"/>
          <w:b/>
          <w:bCs/>
          <w:lang w:eastAsia="zh-CN"/>
        </w:rPr>
        <w:t>软件、集成电路企业优惠方式代码表</w:t>
      </w:r>
    </w:p>
    <w:tbl>
      <w:tblPr>
        <w:tblStyle w:val="8"/>
        <w:tblW w:w="9662" w:type="dxa"/>
        <w:tblInd w:w="5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91"/>
        <w:gridCol w:w="1903"/>
        <w:gridCol w:w="1104"/>
        <w:gridCol w:w="1106"/>
        <w:gridCol w:w="4758"/>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72" w:hRule="atLeast"/>
        </w:trPr>
        <w:tc>
          <w:tcPr>
            <w:tcW w:w="791" w:type="dxa"/>
            <w:tcBorders>
              <w:bottom w:val="single" w:color="000000" w:sz="4" w:space="0"/>
              <w:right w:val="single" w:color="000000" w:sz="4" w:space="0"/>
            </w:tcBorders>
            <w:noWrap w:val="0"/>
            <w:vAlign w:val="top"/>
          </w:tcPr>
          <w:p>
            <w:pPr>
              <w:pStyle w:val="11"/>
              <w:spacing w:before="1" w:line="251" w:lineRule="exact"/>
              <w:ind w:left="184"/>
              <w:rPr>
                <w:b/>
                <w:sz w:val="21"/>
              </w:rPr>
            </w:pPr>
            <w:r>
              <w:rPr>
                <w:b/>
                <w:sz w:val="21"/>
              </w:rPr>
              <w:t>代码</w:t>
            </w:r>
          </w:p>
        </w:tc>
        <w:tc>
          <w:tcPr>
            <w:tcW w:w="1903" w:type="dxa"/>
            <w:tcBorders>
              <w:left w:val="single" w:color="000000" w:sz="4" w:space="0"/>
              <w:bottom w:val="single" w:color="000000" w:sz="4" w:space="0"/>
              <w:right w:val="single" w:color="000000" w:sz="4" w:space="0"/>
            </w:tcBorders>
            <w:noWrap w:val="0"/>
            <w:vAlign w:val="top"/>
          </w:tcPr>
          <w:p>
            <w:pPr>
              <w:pStyle w:val="11"/>
              <w:spacing w:before="1" w:line="251" w:lineRule="exact"/>
              <w:ind w:left="330"/>
              <w:rPr>
                <w:b/>
                <w:sz w:val="21"/>
              </w:rPr>
            </w:pPr>
            <w:r>
              <w:rPr>
                <w:b/>
                <w:sz w:val="21"/>
              </w:rPr>
              <w:t>减免方式类型</w:t>
            </w:r>
          </w:p>
        </w:tc>
        <w:tc>
          <w:tcPr>
            <w:tcW w:w="1104" w:type="dxa"/>
            <w:tcBorders>
              <w:left w:val="single" w:color="000000" w:sz="4" w:space="0"/>
              <w:bottom w:val="single" w:color="000000" w:sz="4" w:space="0"/>
              <w:right w:val="single" w:color="000000" w:sz="4" w:space="0"/>
            </w:tcBorders>
            <w:noWrap w:val="0"/>
            <w:vAlign w:val="top"/>
          </w:tcPr>
          <w:p>
            <w:pPr>
              <w:pStyle w:val="11"/>
              <w:spacing w:before="1" w:line="251" w:lineRule="exact"/>
              <w:ind w:left="225" w:right="196"/>
              <w:jc w:val="center"/>
              <w:rPr>
                <w:b/>
                <w:sz w:val="21"/>
              </w:rPr>
            </w:pPr>
            <w:r>
              <w:rPr>
                <w:b/>
                <w:sz w:val="21"/>
              </w:rPr>
              <w:t>原政策</w:t>
            </w:r>
          </w:p>
        </w:tc>
        <w:tc>
          <w:tcPr>
            <w:tcW w:w="1106" w:type="dxa"/>
            <w:tcBorders>
              <w:left w:val="single" w:color="000000" w:sz="4" w:space="0"/>
              <w:bottom w:val="single" w:color="000000" w:sz="4" w:space="0"/>
              <w:right w:val="single" w:color="000000" w:sz="4" w:space="0"/>
            </w:tcBorders>
            <w:noWrap w:val="0"/>
            <w:vAlign w:val="top"/>
          </w:tcPr>
          <w:p>
            <w:pPr>
              <w:pStyle w:val="11"/>
              <w:spacing w:before="1" w:line="251" w:lineRule="exact"/>
              <w:ind w:left="225" w:right="198"/>
              <w:jc w:val="center"/>
              <w:rPr>
                <w:b/>
                <w:sz w:val="21"/>
              </w:rPr>
            </w:pPr>
            <w:r>
              <w:rPr>
                <w:b/>
                <w:sz w:val="21"/>
              </w:rPr>
              <w:t>新政策</w:t>
            </w:r>
          </w:p>
        </w:tc>
        <w:tc>
          <w:tcPr>
            <w:tcW w:w="4758" w:type="dxa"/>
            <w:tcBorders>
              <w:left w:val="single" w:color="000000" w:sz="4" w:space="0"/>
              <w:bottom w:val="single" w:color="000000" w:sz="4" w:space="0"/>
            </w:tcBorders>
            <w:noWrap w:val="0"/>
            <w:vAlign w:val="top"/>
          </w:tcPr>
          <w:p>
            <w:pPr>
              <w:pStyle w:val="11"/>
              <w:spacing w:before="1" w:line="251" w:lineRule="exact"/>
              <w:ind w:left="1232"/>
              <w:rPr>
                <w:b/>
                <w:sz w:val="21"/>
              </w:rPr>
            </w:pPr>
            <w:r>
              <w:rPr>
                <w:b/>
                <w:sz w:val="21"/>
              </w:rPr>
              <w:t>软件、集成电路企业类型</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restart"/>
            <w:tcBorders>
              <w:top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spacing w:before="4"/>
              <w:rPr>
                <w:b/>
                <w:sz w:val="23"/>
              </w:rPr>
            </w:pPr>
          </w:p>
          <w:p>
            <w:pPr>
              <w:pStyle w:val="11"/>
              <w:spacing w:before="1"/>
              <w:ind w:left="237"/>
              <w:rPr>
                <w:sz w:val="21"/>
              </w:rPr>
            </w:pPr>
            <w:r>
              <w:rPr>
                <w:sz w:val="21"/>
              </w:rPr>
              <w:t>110</w:t>
            </w:r>
          </w:p>
        </w:tc>
        <w:tc>
          <w:tcPr>
            <w:tcW w:w="1903"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spacing w:before="179" w:line="255" w:lineRule="exact"/>
              <w:ind w:left="97" w:right="73"/>
              <w:jc w:val="center"/>
              <w:rPr>
                <w:sz w:val="21"/>
              </w:rPr>
            </w:pPr>
            <w:r>
              <w:rPr>
                <w:sz w:val="21"/>
              </w:rPr>
              <w:t>企业二免三减半</w:t>
            </w:r>
          </w:p>
          <w:p>
            <w:pPr>
              <w:pStyle w:val="11"/>
              <w:spacing w:line="255" w:lineRule="exact"/>
              <w:ind w:left="100" w:right="73"/>
              <w:jc w:val="center"/>
              <w:rPr>
                <w:sz w:val="21"/>
              </w:rPr>
            </w:pPr>
            <w:r>
              <w:rPr>
                <w:sz w:val="21"/>
              </w:rPr>
              <w:t>（免税）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bottom w:val="single" w:color="000000" w:sz="4" w:space="0"/>
            </w:tcBorders>
            <w:noWrap w:val="0"/>
            <w:vAlign w:val="top"/>
          </w:tcPr>
          <w:p>
            <w:pPr>
              <w:pStyle w:val="11"/>
              <w:spacing w:before="2" w:line="261" w:lineRule="exact"/>
              <w:ind w:left="117" w:right="-29"/>
              <w:rPr>
                <w:sz w:val="21"/>
              </w:rPr>
            </w:pPr>
            <w:r>
              <w:rPr>
                <w:sz w:val="21"/>
              </w:rPr>
              <w:t>110</w:t>
            </w:r>
            <w:r>
              <w:rPr>
                <w:spacing w:val="-21"/>
                <w:sz w:val="21"/>
              </w:rPr>
              <w:t xml:space="preserve"> 集成电路生产企业</w:t>
            </w:r>
            <w:r>
              <w:rPr>
                <w:sz w:val="21"/>
              </w:rPr>
              <w:t>（</w:t>
            </w:r>
            <w:r>
              <w:rPr>
                <w:spacing w:val="-13"/>
                <w:sz w:val="21"/>
              </w:rPr>
              <w:t xml:space="preserve">线宽小于 </w:t>
            </w:r>
            <w:r>
              <w:rPr>
                <w:sz w:val="21"/>
              </w:rPr>
              <w:t>0</w:t>
            </w:r>
            <w:r>
              <w:rPr>
                <w:rFonts w:hint="eastAsia"/>
                <w:sz w:val="21"/>
                <w:lang w:eastAsia="zh-CN"/>
              </w:rPr>
              <w:t>、</w:t>
            </w:r>
            <w:r>
              <w:rPr>
                <w:sz w:val="21"/>
              </w:rPr>
              <w:t>8</w:t>
            </w:r>
            <w:r>
              <w:rPr>
                <w:spacing w:val="-12"/>
                <w:sz w:val="21"/>
              </w:rPr>
              <w:t xml:space="preserve"> 微米的企业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2" w:line="261" w:lineRule="exact"/>
              <w:ind w:left="117" w:right="-29"/>
              <w:rPr>
                <w:sz w:val="21"/>
              </w:rPr>
            </w:pPr>
            <w:r>
              <w:rPr>
                <w:sz w:val="21"/>
              </w:rPr>
              <w:t>140</w:t>
            </w:r>
            <w:r>
              <w:rPr>
                <w:spacing w:val="-21"/>
                <w:sz w:val="21"/>
              </w:rPr>
              <w:t xml:space="preserve"> 集成电路生产企业</w:t>
            </w:r>
            <w:r>
              <w:rPr>
                <w:sz w:val="21"/>
              </w:rPr>
              <w:t>（</w:t>
            </w:r>
            <w:r>
              <w:rPr>
                <w:spacing w:val="-13"/>
                <w:sz w:val="21"/>
              </w:rPr>
              <w:t xml:space="preserve">线宽小于 </w:t>
            </w:r>
            <w:r>
              <w:rPr>
                <w:sz w:val="21"/>
              </w:rPr>
              <w:t>130</w:t>
            </w:r>
            <w:r>
              <w:rPr>
                <w:spacing w:val="-12"/>
                <w:sz w:val="21"/>
              </w:rPr>
              <w:t xml:space="preserve"> 纳米的企业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210 集成电路设计企业（新办符合条件的集成电路设计企业\国家鼓励的集成电路设计企业）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311 软件企业（一般软件企业—符合条件的软件企业\国家鼓励的软件企业）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321 软件企业（嵌入式或信息系统集成软件—符合条件的软件企业\国家鼓励的软件企业）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3" w:line="260" w:lineRule="exact"/>
              <w:ind w:left="117"/>
              <w:rPr>
                <w:sz w:val="21"/>
              </w:rPr>
            </w:pPr>
            <w:r>
              <w:rPr>
                <w:sz w:val="21"/>
              </w:rPr>
              <w:t>400 集成电路封装、测试（含封装测试）企业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2" w:line="260" w:lineRule="exact"/>
              <w:ind w:left="117"/>
              <w:rPr>
                <w:sz w:val="21"/>
              </w:rPr>
            </w:pPr>
            <w:r>
              <w:rPr>
                <w:sz w:val="21"/>
              </w:rPr>
              <w:t>500 集成电路材料（含关键专用材料）企业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283"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2" w:line="260" w:lineRule="exact"/>
              <w:ind w:left="117"/>
              <w:rPr>
                <w:sz w:val="21"/>
              </w:rPr>
            </w:pPr>
            <w:r>
              <w:rPr>
                <w:sz w:val="21"/>
              </w:rPr>
              <w:t>600 集成电路装备（含专用设备）企业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restart"/>
            <w:tcBorders>
              <w:top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spacing w:before="5"/>
              <w:rPr>
                <w:b/>
                <w:sz w:val="23"/>
              </w:rPr>
            </w:pPr>
          </w:p>
          <w:p>
            <w:pPr>
              <w:pStyle w:val="11"/>
              <w:ind w:left="237"/>
              <w:rPr>
                <w:sz w:val="21"/>
              </w:rPr>
            </w:pPr>
            <w:r>
              <w:rPr>
                <w:sz w:val="21"/>
              </w:rPr>
              <w:t>120</w:t>
            </w:r>
          </w:p>
        </w:tc>
        <w:tc>
          <w:tcPr>
            <w:tcW w:w="1903"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spacing w:before="179" w:line="255" w:lineRule="exact"/>
              <w:ind w:left="97" w:right="73"/>
              <w:jc w:val="center"/>
              <w:rPr>
                <w:sz w:val="21"/>
              </w:rPr>
            </w:pPr>
            <w:r>
              <w:rPr>
                <w:sz w:val="21"/>
              </w:rPr>
              <w:t>企业二免三减半</w:t>
            </w:r>
          </w:p>
          <w:p>
            <w:pPr>
              <w:pStyle w:val="11"/>
              <w:spacing w:line="255" w:lineRule="exact"/>
              <w:ind w:left="97" w:right="73"/>
              <w:jc w:val="center"/>
              <w:rPr>
                <w:sz w:val="21"/>
              </w:rPr>
            </w:pPr>
            <w:r>
              <w:rPr>
                <w:sz w:val="21"/>
              </w:rPr>
              <w:t>（减半征收）</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bottom w:val="single" w:color="000000" w:sz="4" w:space="0"/>
            </w:tcBorders>
            <w:noWrap w:val="0"/>
            <w:vAlign w:val="top"/>
          </w:tcPr>
          <w:p>
            <w:pPr>
              <w:pStyle w:val="11"/>
              <w:spacing w:before="2" w:line="261" w:lineRule="exact"/>
              <w:ind w:left="117" w:right="-29"/>
              <w:rPr>
                <w:sz w:val="21"/>
              </w:rPr>
            </w:pPr>
            <w:r>
              <w:rPr>
                <w:sz w:val="21"/>
              </w:rPr>
              <w:t>110</w:t>
            </w:r>
            <w:r>
              <w:rPr>
                <w:spacing w:val="-21"/>
                <w:sz w:val="21"/>
              </w:rPr>
              <w:t xml:space="preserve"> 集成电路生产企业</w:t>
            </w:r>
            <w:r>
              <w:rPr>
                <w:sz w:val="21"/>
              </w:rPr>
              <w:t>（</w:t>
            </w:r>
            <w:r>
              <w:rPr>
                <w:spacing w:val="-13"/>
                <w:sz w:val="21"/>
              </w:rPr>
              <w:t xml:space="preserve">线宽小于 </w:t>
            </w:r>
            <w:r>
              <w:rPr>
                <w:sz w:val="21"/>
              </w:rPr>
              <w:t>0</w:t>
            </w:r>
            <w:r>
              <w:rPr>
                <w:rFonts w:hint="eastAsia"/>
                <w:sz w:val="21"/>
                <w:lang w:eastAsia="zh-CN"/>
              </w:rPr>
              <w:t>、</w:t>
            </w:r>
            <w:r>
              <w:rPr>
                <w:sz w:val="21"/>
              </w:rPr>
              <w:t>8</w:t>
            </w:r>
            <w:r>
              <w:rPr>
                <w:spacing w:val="-12"/>
                <w:sz w:val="21"/>
              </w:rPr>
              <w:t xml:space="preserve"> 微米的企业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2" w:line="261" w:lineRule="exact"/>
              <w:ind w:left="117" w:right="-29"/>
              <w:rPr>
                <w:sz w:val="21"/>
              </w:rPr>
            </w:pPr>
            <w:r>
              <w:rPr>
                <w:sz w:val="21"/>
              </w:rPr>
              <w:t>140</w:t>
            </w:r>
            <w:r>
              <w:rPr>
                <w:spacing w:val="-21"/>
                <w:sz w:val="21"/>
              </w:rPr>
              <w:t xml:space="preserve"> 集成电路生产企业</w:t>
            </w:r>
            <w:r>
              <w:rPr>
                <w:sz w:val="21"/>
              </w:rPr>
              <w:t>（</w:t>
            </w:r>
            <w:r>
              <w:rPr>
                <w:spacing w:val="-13"/>
                <w:sz w:val="21"/>
              </w:rPr>
              <w:t xml:space="preserve">线宽小于 </w:t>
            </w:r>
            <w:r>
              <w:rPr>
                <w:sz w:val="21"/>
              </w:rPr>
              <w:t>130</w:t>
            </w:r>
            <w:r>
              <w:rPr>
                <w:spacing w:val="-12"/>
                <w:sz w:val="21"/>
              </w:rPr>
              <w:t xml:space="preserve"> 纳米的企业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210 集成电路设计企业（新办符合条件的集成电路设计企业\国家鼓励的集成电路设计企业）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311 软件企业（一般软件企业—符合条件的软件企业\国家鼓励的软件企业）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321 软件企业（嵌入式或信息系统集成软件—符合条件的软件企业\国家鼓励的软件企业）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3"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3" w:line="260" w:lineRule="exact"/>
              <w:ind w:left="117"/>
              <w:rPr>
                <w:sz w:val="21"/>
              </w:rPr>
            </w:pPr>
            <w:r>
              <w:rPr>
                <w:sz w:val="21"/>
              </w:rPr>
              <w:t>400 集成电路封装、测试（含封装测试）企业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3" w:line="260" w:lineRule="exact"/>
              <w:ind w:left="117"/>
              <w:rPr>
                <w:sz w:val="21"/>
              </w:rPr>
            </w:pPr>
            <w:r>
              <w:rPr>
                <w:sz w:val="21"/>
              </w:rPr>
              <w:t>500 集成电路材料（含关键专用材料）企业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3" w:line="260" w:lineRule="exact"/>
              <w:ind w:left="117"/>
              <w:rPr>
                <w:sz w:val="21"/>
              </w:rPr>
            </w:pPr>
            <w:r>
              <w:rPr>
                <w:sz w:val="21"/>
              </w:rPr>
              <w:t>600 集成电路装备（含专用设备）企业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restart"/>
            <w:tcBorders>
              <w:top w:val="single" w:color="000000" w:sz="4" w:space="0"/>
              <w:bottom w:val="single" w:color="000000" w:sz="4" w:space="0"/>
              <w:right w:val="single" w:color="000000" w:sz="4" w:space="0"/>
            </w:tcBorders>
            <w:noWrap w:val="0"/>
            <w:vAlign w:val="top"/>
          </w:tcPr>
          <w:p>
            <w:pPr>
              <w:pStyle w:val="11"/>
              <w:rPr>
                <w:b/>
                <w:sz w:val="20"/>
              </w:rPr>
            </w:pPr>
          </w:p>
          <w:p>
            <w:pPr>
              <w:pStyle w:val="11"/>
              <w:spacing w:before="3"/>
              <w:rPr>
                <w:b/>
                <w:sz w:val="26"/>
              </w:rPr>
            </w:pPr>
          </w:p>
          <w:p>
            <w:pPr>
              <w:pStyle w:val="11"/>
              <w:ind w:left="237"/>
              <w:rPr>
                <w:sz w:val="21"/>
              </w:rPr>
            </w:pPr>
            <w:r>
              <w:rPr>
                <w:sz w:val="21"/>
              </w:rPr>
              <w:t>210</w:t>
            </w:r>
          </w:p>
        </w:tc>
        <w:tc>
          <w:tcPr>
            <w:tcW w:w="1903"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11"/>
              <w:rPr>
                <w:b/>
                <w:sz w:val="20"/>
              </w:rPr>
            </w:pPr>
          </w:p>
          <w:p>
            <w:pPr>
              <w:pStyle w:val="11"/>
              <w:spacing w:before="11"/>
              <w:rPr>
                <w:b/>
                <w:sz w:val="16"/>
              </w:rPr>
            </w:pPr>
          </w:p>
          <w:p>
            <w:pPr>
              <w:pStyle w:val="11"/>
              <w:spacing w:line="255" w:lineRule="exact"/>
              <w:ind w:left="97" w:right="73"/>
              <w:jc w:val="center"/>
              <w:rPr>
                <w:sz w:val="21"/>
              </w:rPr>
            </w:pPr>
            <w:r>
              <w:rPr>
                <w:sz w:val="21"/>
              </w:rPr>
              <w:t>企业五免五减半</w:t>
            </w:r>
          </w:p>
          <w:p>
            <w:pPr>
              <w:pStyle w:val="11"/>
              <w:spacing w:line="255" w:lineRule="exact"/>
              <w:ind w:left="100" w:right="73"/>
              <w:jc w:val="center"/>
              <w:rPr>
                <w:sz w:val="21"/>
              </w:rPr>
            </w:pPr>
            <w:r>
              <w:rPr>
                <w:sz w:val="21"/>
              </w:rPr>
              <w:t>（免税）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2"/>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120 集成电路生产企业（线宽小于 0</w:t>
            </w:r>
            <w:r>
              <w:rPr>
                <w:rFonts w:hint="eastAsia"/>
                <w:sz w:val="21"/>
                <w:lang w:eastAsia="zh-CN"/>
              </w:rPr>
              <w:t>、</w:t>
            </w:r>
            <w:r>
              <w:rPr>
                <w:sz w:val="21"/>
              </w:rPr>
              <w:t>25 微米的企</w:t>
            </w:r>
          </w:p>
          <w:p>
            <w:pPr>
              <w:pStyle w:val="11"/>
              <w:spacing w:line="224" w:lineRule="exact"/>
              <w:ind w:left="117"/>
              <w:rPr>
                <w:sz w:val="21"/>
              </w:rPr>
            </w:pPr>
            <w:r>
              <w:rPr>
                <w:sz w:val="21"/>
              </w:rPr>
              <w:t>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bottom w:val="single" w:color="000000" w:sz="4" w:space="0"/>
            </w:tcBorders>
            <w:noWrap w:val="0"/>
            <w:vAlign w:val="top"/>
          </w:tcPr>
          <w:p>
            <w:pPr>
              <w:pStyle w:val="11"/>
              <w:spacing w:before="1" w:line="240" w:lineRule="exact"/>
              <w:ind w:left="117"/>
              <w:rPr>
                <w:sz w:val="21"/>
              </w:rPr>
            </w:pPr>
            <w:r>
              <w:rPr>
                <w:sz w:val="21"/>
              </w:rPr>
              <w:t>130 集成电路生产企业（投资额超过 80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150 集成电路生产企业（线宽小于 65 纳米或投资</w:t>
            </w:r>
          </w:p>
          <w:p>
            <w:pPr>
              <w:pStyle w:val="11"/>
              <w:spacing w:line="223" w:lineRule="exact"/>
              <w:ind w:left="117"/>
              <w:rPr>
                <w:sz w:val="21"/>
              </w:rPr>
            </w:pPr>
            <w:r>
              <w:rPr>
                <w:sz w:val="21"/>
              </w:rPr>
              <w:t>额超过 150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7" w:hRule="atLeast"/>
        </w:trPr>
        <w:tc>
          <w:tcPr>
            <w:tcW w:w="791" w:type="dxa"/>
            <w:tcBorders>
              <w:top w:val="single" w:color="000000" w:sz="4" w:space="0"/>
              <w:right w:val="single" w:color="000000" w:sz="4" w:space="0"/>
            </w:tcBorders>
            <w:noWrap w:val="0"/>
            <w:vAlign w:val="top"/>
          </w:tcPr>
          <w:p>
            <w:pPr>
              <w:pStyle w:val="11"/>
              <w:spacing w:before="102"/>
              <w:ind w:left="237"/>
              <w:rPr>
                <w:sz w:val="21"/>
              </w:rPr>
            </w:pPr>
            <w:r>
              <w:rPr>
                <w:sz w:val="21"/>
              </w:rPr>
              <w:t>220</w:t>
            </w:r>
          </w:p>
        </w:tc>
        <w:tc>
          <w:tcPr>
            <w:tcW w:w="1903" w:type="dxa"/>
            <w:tcBorders>
              <w:top w:val="single" w:color="000000" w:sz="4" w:space="0"/>
              <w:left w:val="single" w:color="000000" w:sz="4" w:space="0"/>
              <w:right w:val="single" w:color="000000" w:sz="4" w:space="0"/>
            </w:tcBorders>
            <w:noWrap w:val="0"/>
            <w:vAlign w:val="top"/>
          </w:tcPr>
          <w:p>
            <w:pPr>
              <w:pStyle w:val="11"/>
              <w:spacing w:line="237" w:lineRule="exact"/>
              <w:ind w:left="97" w:right="73"/>
              <w:jc w:val="center"/>
              <w:rPr>
                <w:sz w:val="21"/>
              </w:rPr>
            </w:pPr>
            <w:r>
              <w:rPr>
                <w:sz w:val="21"/>
              </w:rPr>
              <w:t>企业五免五减半</w:t>
            </w:r>
          </w:p>
          <w:p>
            <w:pPr>
              <w:pStyle w:val="11"/>
              <w:spacing w:line="221" w:lineRule="exact"/>
              <w:ind w:left="97" w:right="73"/>
              <w:jc w:val="center"/>
              <w:rPr>
                <w:sz w:val="21"/>
              </w:rPr>
            </w:pPr>
            <w:r>
              <w:rPr>
                <w:sz w:val="21"/>
              </w:rPr>
              <w:t>（减半征收）</w:t>
            </w:r>
          </w:p>
        </w:tc>
        <w:tc>
          <w:tcPr>
            <w:tcW w:w="1104" w:type="dxa"/>
            <w:tcBorders>
              <w:top w:val="single" w:color="000000" w:sz="4" w:space="0"/>
              <w:left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tcBorders>
            <w:noWrap w:val="0"/>
            <w:vAlign w:val="top"/>
          </w:tcPr>
          <w:p>
            <w:pPr>
              <w:pStyle w:val="11"/>
              <w:spacing w:line="240" w:lineRule="exact"/>
              <w:ind w:left="117"/>
              <w:rPr>
                <w:sz w:val="21"/>
              </w:rPr>
            </w:pPr>
            <w:r>
              <w:rPr>
                <w:sz w:val="21"/>
              </w:rPr>
              <w:t>120 集成电路生产企业（线宽小于 0</w:t>
            </w:r>
            <w:r>
              <w:rPr>
                <w:rFonts w:hint="eastAsia"/>
                <w:sz w:val="21"/>
                <w:lang w:eastAsia="zh-CN"/>
              </w:rPr>
              <w:t>、</w:t>
            </w:r>
            <w:r>
              <w:rPr>
                <w:sz w:val="21"/>
              </w:rPr>
              <w:t>25 微米的企业）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restart"/>
            <w:tcBorders>
              <w:bottom w:val="single" w:color="000000" w:sz="4" w:space="0"/>
              <w:right w:val="single" w:color="000000" w:sz="4" w:space="0"/>
            </w:tcBorders>
            <w:noWrap w:val="0"/>
            <w:vAlign w:val="top"/>
          </w:tcPr>
          <w:p>
            <w:pPr>
              <w:pStyle w:val="11"/>
              <w:rPr>
                <w:rFonts w:ascii="Times New Roman"/>
                <w:sz w:val="20"/>
              </w:rPr>
            </w:pPr>
          </w:p>
        </w:tc>
        <w:tc>
          <w:tcPr>
            <w:tcW w:w="1903" w:type="dxa"/>
            <w:vMerge w:val="restart"/>
            <w:tcBorders>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4" w:type="dxa"/>
            <w:tcBorders>
              <w:left w:val="single" w:color="000000" w:sz="4" w:space="0"/>
              <w:bottom w:val="single" w:color="000000" w:sz="4" w:space="0"/>
              <w:right w:val="single" w:color="000000" w:sz="4" w:space="0"/>
            </w:tcBorders>
            <w:noWrap w:val="0"/>
            <w:vAlign w:val="top"/>
          </w:tcPr>
          <w:p>
            <w:pPr>
              <w:pStyle w:val="11"/>
              <w:spacing w:before="124"/>
              <w:ind w:left="28"/>
              <w:jc w:val="center"/>
              <w:rPr>
                <w:rFonts w:ascii="Wingdings" w:hAnsi="Wingdings"/>
                <w:sz w:val="21"/>
              </w:rPr>
            </w:pPr>
            <w:r>
              <w:rPr>
                <w:rFonts w:ascii="Wingdings" w:hAnsi="Wingdings"/>
                <w:w w:val="99"/>
                <w:sz w:val="21"/>
              </w:rPr>
              <w:t></w:t>
            </w:r>
          </w:p>
        </w:tc>
        <w:tc>
          <w:tcPr>
            <w:tcW w:w="1106" w:type="dxa"/>
            <w:tcBorders>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left w:val="single" w:color="000000" w:sz="4" w:space="0"/>
              <w:bottom w:val="single" w:color="000000" w:sz="4" w:space="0"/>
            </w:tcBorders>
            <w:noWrap w:val="0"/>
            <w:vAlign w:val="top"/>
          </w:tcPr>
          <w:p>
            <w:pPr>
              <w:pStyle w:val="11"/>
              <w:spacing w:before="1" w:line="240" w:lineRule="exact"/>
              <w:ind w:left="117"/>
              <w:rPr>
                <w:sz w:val="21"/>
              </w:rPr>
            </w:pPr>
            <w:r>
              <w:rPr>
                <w:sz w:val="21"/>
              </w:rPr>
              <w:t>130 集成电路生产企业（投资额超过 80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150 集成电路生产企业（线宽小于 65 纳米或投资</w:t>
            </w:r>
          </w:p>
          <w:p>
            <w:pPr>
              <w:pStyle w:val="11"/>
              <w:spacing w:line="223" w:lineRule="exact"/>
              <w:ind w:left="117"/>
              <w:rPr>
                <w:sz w:val="21"/>
              </w:rPr>
            </w:pPr>
            <w:r>
              <w:rPr>
                <w:sz w:val="21"/>
              </w:rPr>
              <w:t>额超过 150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restart"/>
            <w:tcBorders>
              <w:top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spacing w:before="11"/>
              <w:rPr>
                <w:b/>
                <w:sz w:val="21"/>
              </w:rPr>
            </w:pPr>
          </w:p>
          <w:p>
            <w:pPr>
              <w:pStyle w:val="11"/>
              <w:ind w:left="237"/>
              <w:rPr>
                <w:sz w:val="21"/>
              </w:rPr>
            </w:pPr>
            <w:r>
              <w:rPr>
                <w:sz w:val="21"/>
              </w:rPr>
              <w:t>300</w:t>
            </w:r>
          </w:p>
        </w:tc>
        <w:tc>
          <w:tcPr>
            <w:tcW w:w="1903"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spacing w:before="4"/>
              <w:rPr>
                <w:b/>
                <w:sz w:val="14"/>
              </w:rPr>
            </w:pPr>
          </w:p>
          <w:p>
            <w:pPr>
              <w:pStyle w:val="11"/>
              <w:spacing w:line="213" w:lineRule="auto"/>
              <w:ind w:left="224" w:right="52" w:hanging="77"/>
              <w:rPr>
                <w:sz w:val="21"/>
              </w:rPr>
            </w:pPr>
            <w:r>
              <w:rPr>
                <w:sz w:val="21"/>
              </w:rPr>
              <w:t>企业减按 10%税率征收企业所得税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220 集成电路设计企业（符合规模条件的重点集成电路设计企业）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230 集成电路设计企业（符合领域条件的重点集成</w:t>
            </w:r>
          </w:p>
          <w:p>
            <w:pPr>
              <w:pStyle w:val="11"/>
              <w:spacing w:line="224" w:lineRule="exact"/>
              <w:ind w:left="117"/>
              <w:rPr>
                <w:sz w:val="21"/>
              </w:rPr>
            </w:pPr>
            <w:r>
              <w:rPr>
                <w:sz w:val="21"/>
              </w:rPr>
              <w:t>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2"/>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312 软件企业（一般软件企业—符合规模条件的重</w:t>
            </w:r>
          </w:p>
          <w:p>
            <w:pPr>
              <w:pStyle w:val="11"/>
              <w:spacing w:line="224" w:lineRule="exact"/>
              <w:ind w:left="117"/>
              <w:rPr>
                <w:sz w:val="21"/>
              </w:rPr>
            </w:pPr>
            <w:r>
              <w:rPr>
                <w:sz w:val="21"/>
              </w:rPr>
              <w:t>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1" w:line="240" w:lineRule="exact"/>
              <w:ind w:left="117"/>
              <w:rPr>
                <w:sz w:val="21"/>
              </w:rPr>
            </w:pPr>
            <w:r>
              <w:rPr>
                <w:sz w:val="21"/>
              </w:rPr>
              <w:t>313 软件企业（一般软件企业—符合领域条件的重点软件企业）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314 软件企业（一般软件企业—符合出口条件的重</w:t>
            </w:r>
          </w:p>
          <w:p>
            <w:pPr>
              <w:pStyle w:val="11"/>
              <w:spacing w:line="223" w:lineRule="exact"/>
              <w:ind w:left="117"/>
              <w:rPr>
                <w:sz w:val="21"/>
              </w:rPr>
            </w:pPr>
            <w:r>
              <w:rPr>
                <w:sz w:val="21"/>
              </w:rPr>
              <w:t>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322 软件企业（嵌入式或信息系统集成软件产品企业—符合规模条件的重点软件企业）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323 软件企业（嵌入式或信息系统集成软件产品企业—符合领域条件的重点软件企业）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324 软件企业（嵌入式或信息系统集成软件产品企</w:t>
            </w:r>
          </w:p>
          <w:p>
            <w:pPr>
              <w:pStyle w:val="11"/>
              <w:spacing w:line="224" w:lineRule="exact"/>
              <w:ind w:left="117"/>
              <w:rPr>
                <w:sz w:val="21"/>
              </w:rPr>
            </w:pPr>
            <w:r>
              <w:rPr>
                <w:sz w:val="21"/>
              </w:rPr>
              <w:t>业—符合出口条件的重点软件企业）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restart"/>
            <w:tcBorders>
              <w:top w:val="single" w:color="000000" w:sz="4" w:space="0"/>
              <w:bottom w:val="single" w:color="000000" w:sz="4" w:space="0"/>
              <w:right w:val="single" w:color="000000" w:sz="4" w:space="0"/>
            </w:tcBorders>
            <w:noWrap w:val="0"/>
            <w:vAlign w:val="top"/>
          </w:tcPr>
          <w:p>
            <w:pPr>
              <w:pStyle w:val="11"/>
              <w:rPr>
                <w:b/>
                <w:sz w:val="27"/>
              </w:rPr>
            </w:pPr>
          </w:p>
          <w:p>
            <w:pPr>
              <w:pStyle w:val="11"/>
              <w:ind w:left="237"/>
              <w:rPr>
                <w:sz w:val="21"/>
              </w:rPr>
            </w:pPr>
            <w:r>
              <w:rPr>
                <w:sz w:val="21"/>
              </w:rPr>
              <w:t>400</w:t>
            </w:r>
          </w:p>
        </w:tc>
        <w:tc>
          <w:tcPr>
            <w:tcW w:w="1903"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11"/>
              <w:spacing w:before="5"/>
              <w:rPr>
                <w:b/>
                <w:sz w:val="19"/>
              </w:rPr>
            </w:pPr>
          </w:p>
          <w:p>
            <w:pPr>
              <w:pStyle w:val="11"/>
              <w:spacing w:line="213" w:lineRule="auto"/>
              <w:ind w:left="224" w:right="52" w:hanging="77"/>
              <w:rPr>
                <w:sz w:val="21"/>
              </w:rPr>
            </w:pPr>
            <w:r>
              <w:rPr>
                <w:sz w:val="21"/>
              </w:rPr>
              <w:t>企业减按 15%税率征收企业所得税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120 集成电路生产企业（线宽小于 0</w:t>
            </w:r>
            <w:r>
              <w:rPr>
                <w:rFonts w:hint="eastAsia"/>
                <w:sz w:val="21"/>
                <w:lang w:eastAsia="zh-CN"/>
              </w:rPr>
              <w:t>、</w:t>
            </w:r>
            <w:r>
              <w:rPr>
                <w:sz w:val="21"/>
              </w:rPr>
              <w:t>25 微米的企</w:t>
            </w:r>
          </w:p>
          <w:p>
            <w:pPr>
              <w:pStyle w:val="11"/>
              <w:spacing w:line="224" w:lineRule="exact"/>
              <w:ind w:left="117"/>
              <w:rPr>
                <w:sz w:val="21"/>
              </w:rPr>
            </w:pPr>
            <w:r>
              <w:rPr>
                <w:sz w:val="21"/>
              </w:rPr>
              <w:t>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4758" w:type="dxa"/>
            <w:tcBorders>
              <w:top w:val="single" w:color="000000" w:sz="4" w:space="0"/>
              <w:left w:val="single" w:color="000000" w:sz="4" w:space="0"/>
              <w:bottom w:val="single" w:color="000000" w:sz="4" w:space="0"/>
            </w:tcBorders>
            <w:noWrap w:val="0"/>
            <w:vAlign w:val="top"/>
          </w:tcPr>
          <w:p>
            <w:pPr>
              <w:pStyle w:val="11"/>
              <w:spacing w:before="1" w:line="240" w:lineRule="exact"/>
              <w:ind w:left="117"/>
              <w:rPr>
                <w:sz w:val="21"/>
              </w:rPr>
            </w:pPr>
            <w:r>
              <w:rPr>
                <w:sz w:val="21"/>
              </w:rPr>
              <w:t>130 集成电路生产企业（投资额超过 80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791" w:type="dxa"/>
            <w:tcBorders>
              <w:top w:val="single" w:color="000000" w:sz="4" w:space="0"/>
              <w:bottom w:val="single" w:color="000000" w:sz="4" w:space="0"/>
              <w:right w:val="single" w:color="000000" w:sz="4" w:space="0"/>
            </w:tcBorders>
            <w:noWrap w:val="0"/>
            <w:vAlign w:val="top"/>
          </w:tcPr>
          <w:p>
            <w:pPr>
              <w:pStyle w:val="11"/>
              <w:spacing w:before="101"/>
              <w:ind w:left="217" w:right="198"/>
              <w:jc w:val="center"/>
              <w:rPr>
                <w:sz w:val="21"/>
              </w:rPr>
            </w:pPr>
            <w:r>
              <w:rPr>
                <w:sz w:val="21"/>
              </w:rPr>
              <w:t>510</w:t>
            </w:r>
          </w:p>
        </w:tc>
        <w:tc>
          <w:tcPr>
            <w:tcW w:w="1903" w:type="dxa"/>
            <w:tcBorders>
              <w:top w:val="single" w:color="000000" w:sz="4" w:space="0"/>
              <w:left w:val="single" w:color="000000" w:sz="4" w:space="0"/>
              <w:bottom w:val="single" w:color="000000" w:sz="4" w:space="0"/>
              <w:right w:val="single" w:color="000000" w:sz="4" w:space="0"/>
            </w:tcBorders>
            <w:noWrap w:val="0"/>
            <w:vAlign w:val="top"/>
          </w:tcPr>
          <w:p>
            <w:pPr>
              <w:pStyle w:val="11"/>
              <w:spacing w:line="236" w:lineRule="exact"/>
              <w:ind w:left="100" w:right="73"/>
              <w:jc w:val="center"/>
              <w:rPr>
                <w:sz w:val="21"/>
              </w:rPr>
            </w:pPr>
            <w:r>
              <w:rPr>
                <w:sz w:val="21"/>
              </w:rPr>
              <w:t>项目所得二免三减</w:t>
            </w:r>
          </w:p>
          <w:p>
            <w:pPr>
              <w:pStyle w:val="11"/>
              <w:spacing w:line="223" w:lineRule="exact"/>
              <w:ind w:left="100" w:right="73"/>
              <w:jc w:val="center"/>
              <w:rPr>
                <w:sz w:val="21"/>
              </w:rPr>
            </w:pPr>
            <w:r>
              <w:rPr>
                <w:sz w:val="21"/>
              </w:rPr>
              <w:t>半（免税）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101"/>
              <w:ind w:left="117" w:right="-29"/>
              <w:jc w:val="center"/>
              <w:rPr>
                <w:sz w:val="21"/>
              </w:rPr>
            </w:pPr>
            <w:r>
              <w:rPr>
                <w:sz w:val="21"/>
              </w:rPr>
              <w:t>140</w:t>
            </w:r>
            <w:r>
              <w:rPr>
                <w:spacing w:val="-21"/>
                <w:sz w:val="21"/>
              </w:rPr>
              <w:t xml:space="preserve"> 集成电路生产企业</w:t>
            </w:r>
            <w:r>
              <w:rPr>
                <w:sz w:val="21"/>
              </w:rPr>
              <w:t>（</w:t>
            </w:r>
            <w:r>
              <w:rPr>
                <w:spacing w:val="-13"/>
                <w:sz w:val="21"/>
              </w:rPr>
              <w:t xml:space="preserve">线宽小于 </w:t>
            </w:r>
            <w:r>
              <w:rPr>
                <w:sz w:val="21"/>
              </w:rPr>
              <w:t>130</w:t>
            </w:r>
            <w:r>
              <w:rPr>
                <w:spacing w:val="-12"/>
                <w:sz w:val="21"/>
              </w:rPr>
              <w:t xml:space="preserve"> 纳米的企业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tcBorders>
              <w:top w:val="single" w:color="000000" w:sz="4" w:space="0"/>
              <w:bottom w:val="single" w:color="000000" w:sz="4" w:space="0"/>
              <w:right w:val="single" w:color="000000" w:sz="4" w:space="0"/>
            </w:tcBorders>
            <w:noWrap w:val="0"/>
            <w:vAlign w:val="top"/>
          </w:tcPr>
          <w:p>
            <w:pPr>
              <w:pStyle w:val="11"/>
              <w:spacing w:before="102"/>
              <w:ind w:left="217" w:right="198"/>
              <w:jc w:val="center"/>
              <w:rPr>
                <w:sz w:val="21"/>
              </w:rPr>
            </w:pPr>
            <w:r>
              <w:rPr>
                <w:sz w:val="21"/>
              </w:rPr>
              <w:t>520</w:t>
            </w:r>
          </w:p>
        </w:tc>
        <w:tc>
          <w:tcPr>
            <w:tcW w:w="1903" w:type="dxa"/>
            <w:tcBorders>
              <w:top w:val="single" w:color="000000" w:sz="4" w:space="0"/>
              <w:left w:val="single" w:color="000000" w:sz="4" w:space="0"/>
              <w:bottom w:val="single" w:color="000000" w:sz="4" w:space="0"/>
              <w:right w:val="single" w:color="000000" w:sz="4" w:space="0"/>
            </w:tcBorders>
            <w:noWrap w:val="0"/>
            <w:vAlign w:val="top"/>
          </w:tcPr>
          <w:p>
            <w:pPr>
              <w:pStyle w:val="11"/>
              <w:spacing w:line="240" w:lineRule="exact"/>
              <w:ind w:left="224" w:right="92" w:hanging="104"/>
              <w:rPr>
                <w:sz w:val="21"/>
              </w:rPr>
            </w:pPr>
            <w:r>
              <w:rPr>
                <w:sz w:val="21"/>
              </w:rPr>
              <w:t>项目所得二免三减半（减半征收）</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102"/>
              <w:ind w:left="117" w:right="-29"/>
              <w:jc w:val="center"/>
              <w:rPr>
                <w:sz w:val="21"/>
              </w:rPr>
            </w:pPr>
            <w:r>
              <w:rPr>
                <w:sz w:val="21"/>
              </w:rPr>
              <w:t>140</w:t>
            </w:r>
            <w:r>
              <w:rPr>
                <w:spacing w:val="-21"/>
                <w:sz w:val="21"/>
              </w:rPr>
              <w:t xml:space="preserve"> 集成电路生产企业</w:t>
            </w:r>
            <w:r>
              <w:rPr>
                <w:sz w:val="21"/>
              </w:rPr>
              <w:t>（</w:t>
            </w:r>
            <w:r>
              <w:rPr>
                <w:spacing w:val="-13"/>
                <w:sz w:val="21"/>
              </w:rPr>
              <w:t xml:space="preserve">线宽小于 </w:t>
            </w:r>
            <w:r>
              <w:rPr>
                <w:sz w:val="21"/>
              </w:rPr>
              <w:t>130</w:t>
            </w:r>
            <w:r>
              <w:rPr>
                <w:spacing w:val="-12"/>
                <w:sz w:val="21"/>
              </w:rPr>
              <w:t xml:space="preserve"> 纳米的企业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tcBorders>
              <w:top w:val="single" w:color="000000" w:sz="4" w:space="0"/>
              <w:bottom w:val="single" w:color="000000" w:sz="4" w:space="0"/>
              <w:right w:val="single" w:color="000000" w:sz="4" w:space="0"/>
            </w:tcBorders>
            <w:noWrap w:val="0"/>
            <w:vAlign w:val="top"/>
          </w:tcPr>
          <w:p>
            <w:pPr>
              <w:pStyle w:val="11"/>
              <w:spacing w:before="102"/>
              <w:ind w:left="217" w:right="198"/>
              <w:jc w:val="center"/>
              <w:rPr>
                <w:sz w:val="21"/>
              </w:rPr>
            </w:pPr>
            <w:r>
              <w:rPr>
                <w:sz w:val="21"/>
              </w:rPr>
              <w:t>610</w:t>
            </w:r>
          </w:p>
        </w:tc>
        <w:tc>
          <w:tcPr>
            <w:tcW w:w="1903" w:type="dxa"/>
            <w:tcBorders>
              <w:top w:val="single" w:color="000000" w:sz="4" w:space="0"/>
              <w:left w:val="single" w:color="000000" w:sz="4" w:space="0"/>
              <w:bottom w:val="single" w:color="000000" w:sz="4" w:space="0"/>
              <w:right w:val="single" w:color="000000" w:sz="4" w:space="0"/>
            </w:tcBorders>
            <w:noWrap w:val="0"/>
            <w:vAlign w:val="top"/>
          </w:tcPr>
          <w:p>
            <w:pPr>
              <w:pStyle w:val="11"/>
              <w:spacing w:line="240" w:lineRule="exact"/>
              <w:ind w:left="435" w:right="92" w:hanging="315"/>
              <w:rPr>
                <w:sz w:val="21"/>
              </w:rPr>
            </w:pPr>
            <w:r>
              <w:rPr>
                <w:sz w:val="21"/>
              </w:rPr>
              <w:t>项目所得五免五减半（免税）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7" w:lineRule="exact"/>
              <w:ind w:left="117"/>
              <w:rPr>
                <w:sz w:val="21"/>
              </w:rPr>
            </w:pPr>
            <w:r>
              <w:rPr>
                <w:sz w:val="21"/>
              </w:rPr>
              <w:t>150 集成电路生产企业（线宽小于 65 纳米或投资</w:t>
            </w:r>
          </w:p>
          <w:p>
            <w:pPr>
              <w:pStyle w:val="11"/>
              <w:spacing w:line="223" w:lineRule="exact"/>
              <w:ind w:left="117"/>
              <w:rPr>
                <w:sz w:val="21"/>
              </w:rPr>
            </w:pPr>
            <w:r>
              <w:rPr>
                <w:sz w:val="21"/>
              </w:rPr>
              <w:t>额超过 150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tcBorders>
              <w:top w:val="single" w:color="000000" w:sz="4" w:space="0"/>
              <w:bottom w:val="single" w:color="000000" w:sz="4" w:space="0"/>
              <w:right w:val="single" w:color="000000" w:sz="4" w:space="0"/>
            </w:tcBorders>
            <w:noWrap w:val="0"/>
            <w:vAlign w:val="top"/>
          </w:tcPr>
          <w:p>
            <w:pPr>
              <w:pStyle w:val="11"/>
              <w:spacing w:before="101"/>
              <w:ind w:left="217" w:right="198"/>
              <w:jc w:val="center"/>
              <w:rPr>
                <w:sz w:val="21"/>
              </w:rPr>
            </w:pPr>
            <w:r>
              <w:rPr>
                <w:sz w:val="21"/>
              </w:rPr>
              <w:t>620</w:t>
            </w:r>
          </w:p>
        </w:tc>
        <w:tc>
          <w:tcPr>
            <w:tcW w:w="1903" w:type="dxa"/>
            <w:tcBorders>
              <w:top w:val="single" w:color="000000" w:sz="4" w:space="0"/>
              <w:left w:val="single" w:color="000000" w:sz="4" w:space="0"/>
              <w:bottom w:val="single" w:color="000000" w:sz="4" w:space="0"/>
              <w:right w:val="single" w:color="000000" w:sz="4" w:space="0"/>
            </w:tcBorders>
            <w:noWrap w:val="0"/>
            <w:vAlign w:val="top"/>
          </w:tcPr>
          <w:p>
            <w:pPr>
              <w:pStyle w:val="11"/>
              <w:spacing w:line="236" w:lineRule="exact"/>
              <w:ind w:left="121"/>
              <w:rPr>
                <w:sz w:val="21"/>
              </w:rPr>
            </w:pPr>
            <w:r>
              <w:rPr>
                <w:sz w:val="21"/>
              </w:rPr>
              <w:t>项目所得五免五减</w:t>
            </w:r>
          </w:p>
          <w:p>
            <w:pPr>
              <w:pStyle w:val="11"/>
              <w:spacing w:line="224" w:lineRule="exact"/>
              <w:ind w:left="224"/>
              <w:rPr>
                <w:sz w:val="21"/>
              </w:rPr>
            </w:pPr>
            <w:r>
              <w:rPr>
                <w:sz w:val="21"/>
              </w:rPr>
              <w:t>半（减半征收）</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28"/>
              <w:jc w:val="center"/>
              <w:rPr>
                <w:rFonts w:ascii="Wingdings" w:hAnsi="Wingdings"/>
                <w:sz w:val="21"/>
              </w:rPr>
            </w:pPr>
            <w:r>
              <w:rPr>
                <w:rFonts w:ascii="Wingdings" w:hAnsi="Wingdings"/>
                <w:w w:val="99"/>
                <w:sz w:val="21"/>
              </w:rPr>
              <w:t></w:t>
            </w: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150 集成电路生产企业（线宽小于 65 纳米或投资</w:t>
            </w:r>
          </w:p>
          <w:p>
            <w:pPr>
              <w:pStyle w:val="11"/>
              <w:spacing w:line="224" w:lineRule="exact"/>
              <w:ind w:left="117"/>
              <w:rPr>
                <w:sz w:val="21"/>
              </w:rPr>
            </w:pPr>
            <w:r>
              <w:rPr>
                <w:sz w:val="21"/>
              </w:rPr>
              <w:t>额超过 150 亿元的企业）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tcBorders>
              <w:top w:val="single" w:color="000000" w:sz="4" w:space="0"/>
              <w:bottom w:val="single" w:color="000000" w:sz="4" w:space="0"/>
              <w:right w:val="single" w:color="000000" w:sz="4" w:space="0"/>
            </w:tcBorders>
            <w:noWrap w:val="0"/>
            <w:vAlign w:val="top"/>
          </w:tcPr>
          <w:p>
            <w:pPr>
              <w:pStyle w:val="11"/>
              <w:spacing w:before="101"/>
              <w:ind w:left="217" w:right="198"/>
              <w:jc w:val="center"/>
              <w:rPr>
                <w:sz w:val="21"/>
              </w:rPr>
            </w:pPr>
            <w:r>
              <w:rPr>
                <w:sz w:val="21"/>
              </w:rPr>
              <w:t>700</w:t>
            </w:r>
          </w:p>
        </w:tc>
        <w:tc>
          <w:tcPr>
            <w:tcW w:w="1903" w:type="dxa"/>
            <w:tcBorders>
              <w:top w:val="single" w:color="000000" w:sz="4" w:space="0"/>
              <w:left w:val="single" w:color="000000" w:sz="4" w:space="0"/>
              <w:bottom w:val="single" w:color="000000" w:sz="4" w:space="0"/>
              <w:right w:val="single" w:color="000000" w:sz="4" w:space="0"/>
            </w:tcBorders>
            <w:noWrap w:val="0"/>
            <w:vAlign w:val="top"/>
          </w:tcPr>
          <w:p>
            <w:pPr>
              <w:pStyle w:val="11"/>
              <w:spacing w:line="236" w:lineRule="exact"/>
              <w:ind w:left="100" w:right="73"/>
              <w:jc w:val="center"/>
              <w:rPr>
                <w:sz w:val="21"/>
              </w:rPr>
            </w:pPr>
            <w:r>
              <w:rPr>
                <w:sz w:val="21"/>
              </w:rPr>
              <w:t>项目所得十免（免</w:t>
            </w:r>
          </w:p>
          <w:p>
            <w:pPr>
              <w:pStyle w:val="11"/>
              <w:spacing w:line="224" w:lineRule="exact"/>
              <w:ind w:left="97" w:right="73"/>
              <w:jc w:val="center"/>
              <w:rPr>
                <w:sz w:val="21"/>
              </w:rPr>
            </w:pPr>
            <w:r>
              <w:rPr>
                <w:sz w:val="21"/>
              </w:rPr>
              <w:t>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2"/>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101"/>
              <w:ind w:left="117" w:right="-29"/>
              <w:jc w:val="center"/>
              <w:rPr>
                <w:sz w:val="21"/>
              </w:rPr>
            </w:pPr>
            <w:r>
              <w:rPr>
                <w:sz w:val="21"/>
              </w:rPr>
              <w:t>160</w:t>
            </w:r>
            <w:r>
              <w:rPr>
                <w:spacing w:val="-10"/>
                <w:sz w:val="21"/>
              </w:rPr>
              <w:t xml:space="preserve"> 集成电路生产企业</w:t>
            </w:r>
            <w:r>
              <w:rPr>
                <w:sz w:val="21"/>
              </w:rPr>
              <w:t>（</w:t>
            </w:r>
            <w:r>
              <w:rPr>
                <w:spacing w:val="-11"/>
                <w:sz w:val="21"/>
              </w:rPr>
              <w:t xml:space="preserve">线宽小于 </w:t>
            </w:r>
            <w:r>
              <w:rPr>
                <w:sz w:val="21"/>
              </w:rPr>
              <w:t>28</w:t>
            </w:r>
            <w:r>
              <w:rPr>
                <w:spacing w:val="-10"/>
                <w:sz w:val="21"/>
              </w:rPr>
              <w:t xml:space="preserve"> 纳米的企业</w:t>
            </w:r>
            <w:r>
              <w:rPr>
                <w:sz w:val="21"/>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restart"/>
            <w:tcBorders>
              <w:top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spacing w:before="10"/>
              <w:rPr>
                <w:b/>
                <w:sz w:val="21"/>
              </w:rPr>
            </w:pPr>
          </w:p>
          <w:p>
            <w:pPr>
              <w:pStyle w:val="11"/>
              <w:ind w:left="237"/>
              <w:rPr>
                <w:sz w:val="21"/>
              </w:rPr>
            </w:pPr>
            <w:r>
              <w:rPr>
                <w:sz w:val="21"/>
              </w:rPr>
              <w:t>800</w:t>
            </w:r>
          </w:p>
        </w:tc>
        <w:tc>
          <w:tcPr>
            <w:tcW w:w="1903"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rPr>
                <w:b/>
                <w:sz w:val="20"/>
              </w:rPr>
            </w:pPr>
          </w:p>
          <w:p>
            <w:pPr>
              <w:pStyle w:val="11"/>
              <w:spacing w:before="10"/>
              <w:rPr>
                <w:b/>
                <w:sz w:val="21"/>
              </w:rPr>
            </w:pPr>
          </w:p>
          <w:p>
            <w:pPr>
              <w:pStyle w:val="11"/>
              <w:ind w:left="121"/>
              <w:rPr>
                <w:sz w:val="21"/>
              </w:rPr>
            </w:pPr>
            <w:r>
              <w:rPr>
                <w:sz w:val="21"/>
              </w:rPr>
              <w:t>企业五免（免税）</w:t>
            </w: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1" w:line="240" w:lineRule="exact"/>
              <w:ind w:left="117"/>
              <w:rPr>
                <w:sz w:val="21"/>
              </w:rPr>
            </w:pPr>
            <w:r>
              <w:rPr>
                <w:sz w:val="21"/>
              </w:rPr>
              <w:t>220 集成电路设计企业（符合规模条件的重点集成电路设计企业）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230 集成电路设计企业（符合领域条件的重点集成</w:t>
            </w:r>
          </w:p>
          <w:p>
            <w:pPr>
              <w:pStyle w:val="11"/>
              <w:spacing w:line="223" w:lineRule="exact"/>
              <w:ind w:left="117"/>
              <w:rPr>
                <w:sz w:val="21"/>
              </w:rPr>
            </w:pPr>
            <w:r>
              <w:rPr>
                <w:sz w:val="21"/>
              </w:rPr>
              <w:t>电路设计企业）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312 软件企业（一般软件企业—符合规模条件的重点软件企业）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40" w:lineRule="exact"/>
              <w:ind w:left="117"/>
              <w:rPr>
                <w:sz w:val="21"/>
              </w:rPr>
            </w:pPr>
            <w:r>
              <w:rPr>
                <w:sz w:val="21"/>
              </w:rPr>
              <w:t>313 软件企业（一般软件企业—符合领域条件的重点软件企业）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314 软件企业（一般软件企业—符合出口条件的重</w:t>
            </w:r>
          </w:p>
          <w:p>
            <w:pPr>
              <w:pStyle w:val="11"/>
              <w:spacing w:line="224" w:lineRule="exact"/>
              <w:ind w:left="117"/>
              <w:rPr>
                <w:sz w:val="21"/>
              </w:rPr>
            </w:pPr>
            <w:r>
              <w:rPr>
                <w:sz w:val="21"/>
              </w:rPr>
              <w:t>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2"/>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322 软件企业（嵌入式或信息系统集成软件产品企</w:t>
            </w:r>
          </w:p>
          <w:p>
            <w:pPr>
              <w:pStyle w:val="11"/>
              <w:spacing w:line="224" w:lineRule="exact"/>
              <w:ind w:left="117"/>
              <w:rPr>
                <w:sz w:val="21"/>
              </w:rPr>
            </w:pPr>
            <w:r>
              <w:rPr>
                <w:sz w:val="21"/>
              </w:rPr>
              <w:t>业—符合规模条件的重点软件企业）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4"/>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before="1" w:line="240" w:lineRule="exact"/>
              <w:ind w:left="117"/>
              <w:rPr>
                <w:sz w:val="21"/>
              </w:rPr>
            </w:pPr>
            <w:r>
              <w:rPr>
                <w:sz w:val="21"/>
              </w:rPr>
              <w:t>323 软件企业（嵌入式或信息系统集成软件产品企业—符合领域条件的重点软件企业）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9" w:hRule="atLeast"/>
        </w:trPr>
        <w:tc>
          <w:tcPr>
            <w:tcW w:w="791" w:type="dxa"/>
            <w:vMerge w:val="continue"/>
            <w:tcBorders>
              <w:top w:val="nil"/>
              <w:bottom w:val="single" w:color="000000" w:sz="4" w:space="0"/>
              <w:right w:val="single" w:color="000000" w:sz="4" w:space="0"/>
            </w:tcBorders>
            <w:noWrap w:val="0"/>
            <w:vAlign w:val="top"/>
          </w:tcPr>
          <w:p>
            <w:pPr>
              <w:rPr>
                <w:sz w:val="2"/>
                <w:szCs w:val="2"/>
              </w:rPr>
            </w:pPr>
          </w:p>
        </w:tc>
        <w:tc>
          <w:tcPr>
            <w:tcW w:w="1903" w:type="dxa"/>
            <w:vMerge w:val="continue"/>
            <w:tcBorders>
              <w:top w:val="nil"/>
              <w:left w:val="single" w:color="000000" w:sz="4" w:space="0"/>
              <w:bottom w:val="single" w:color="000000" w:sz="4" w:space="0"/>
              <w:right w:val="single" w:color="000000" w:sz="4" w:space="0"/>
            </w:tcBorders>
            <w:noWrap w:val="0"/>
            <w:vAlign w:val="top"/>
          </w:tcPr>
          <w:p>
            <w:pPr>
              <w:rPr>
                <w:sz w:val="2"/>
                <w:szCs w:val="2"/>
              </w:rPr>
            </w:pPr>
          </w:p>
        </w:tc>
        <w:tc>
          <w:tcPr>
            <w:tcW w:w="1104" w:type="dxa"/>
            <w:tcBorders>
              <w:top w:val="single" w:color="000000" w:sz="4" w:space="0"/>
              <w:left w:val="single" w:color="000000" w:sz="4" w:space="0"/>
              <w:bottom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bottom w:val="single" w:color="000000" w:sz="4" w:space="0"/>
              <w:right w:val="single" w:color="000000" w:sz="4" w:space="0"/>
            </w:tcBorders>
            <w:noWrap w:val="0"/>
            <w:vAlign w:val="top"/>
          </w:tcPr>
          <w:p>
            <w:pPr>
              <w:pStyle w:val="11"/>
              <w:spacing w:before="123"/>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bottom w:val="single" w:color="000000" w:sz="4" w:space="0"/>
            </w:tcBorders>
            <w:noWrap w:val="0"/>
            <w:vAlign w:val="top"/>
          </w:tcPr>
          <w:p>
            <w:pPr>
              <w:pStyle w:val="11"/>
              <w:spacing w:line="236" w:lineRule="exact"/>
              <w:ind w:left="117"/>
              <w:rPr>
                <w:sz w:val="21"/>
              </w:rPr>
            </w:pPr>
            <w:r>
              <w:rPr>
                <w:sz w:val="21"/>
              </w:rPr>
              <w:t>324 软件企业（嵌入式或信息系统集成软件产品企</w:t>
            </w:r>
          </w:p>
          <w:p>
            <w:pPr>
              <w:pStyle w:val="11"/>
              <w:spacing w:line="223" w:lineRule="exact"/>
              <w:ind w:left="117"/>
              <w:rPr>
                <w:sz w:val="21"/>
              </w:rPr>
            </w:pPr>
            <w:r>
              <w:rPr>
                <w:sz w:val="21"/>
              </w:rPr>
              <w:t>业—符合出口条件的重点软件企业）</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2" w:hRule="atLeast"/>
        </w:trPr>
        <w:tc>
          <w:tcPr>
            <w:tcW w:w="791" w:type="dxa"/>
            <w:tcBorders>
              <w:top w:val="single" w:color="000000" w:sz="4" w:space="0"/>
              <w:right w:val="single" w:color="000000" w:sz="4" w:space="0"/>
            </w:tcBorders>
            <w:noWrap w:val="0"/>
            <w:vAlign w:val="top"/>
          </w:tcPr>
          <w:p>
            <w:pPr>
              <w:pStyle w:val="11"/>
              <w:spacing w:before="4" w:line="259" w:lineRule="exact"/>
              <w:ind w:left="217" w:right="198"/>
              <w:jc w:val="center"/>
              <w:rPr>
                <w:sz w:val="21"/>
              </w:rPr>
            </w:pPr>
            <w:r>
              <w:rPr>
                <w:sz w:val="21"/>
              </w:rPr>
              <w:t>900</w:t>
            </w:r>
          </w:p>
        </w:tc>
        <w:tc>
          <w:tcPr>
            <w:tcW w:w="1903" w:type="dxa"/>
            <w:tcBorders>
              <w:top w:val="single" w:color="000000" w:sz="4" w:space="0"/>
              <w:left w:val="single" w:color="000000" w:sz="4" w:space="0"/>
              <w:right w:val="single" w:color="000000" w:sz="4" w:space="0"/>
            </w:tcBorders>
            <w:noWrap w:val="0"/>
            <w:vAlign w:val="top"/>
          </w:tcPr>
          <w:p>
            <w:pPr>
              <w:pStyle w:val="11"/>
              <w:spacing w:before="4" w:line="259" w:lineRule="exact"/>
              <w:ind w:left="121"/>
              <w:rPr>
                <w:sz w:val="21"/>
              </w:rPr>
            </w:pPr>
            <w:r>
              <w:rPr>
                <w:sz w:val="21"/>
              </w:rPr>
              <w:t>企业十免（免税）</w:t>
            </w:r>
          </w:p>
        </w:tc>
        <w:tc>
          <w:tcPr>
            <w:tcW w:w="1104" w:type="dxa"/>
            <w:tcBorders>
              <w:top w:val="single" w:color="000000" w:sz="4" w:space="0"/>
              <w:left w:val="single" w:color="000000" w:sz="4" w:space="0"/>
              <w:right w:val="single" w:color="000000" w:sz="4" w:space="0"/>
            </w:tcBorders>
            <w:noWrap w:val="0"/>
            <w:vAlign w:val="top"/>
          </w:tcPr>
          <w:p>
            <w:pPr>
              <w:pStyle w:val="11"/>
              <w:rPr>
                <w:rFonts w:ascii="Times New Roman"/>
                <w:sz w:val="20"/>
              </w:rPr>
            </w:pPr>
          </w:p>
        </w:tc>
        <w:tc>
          <w:tcPr>
            <w:tcW w:w="1106" w:type="dxa"/>
            <w:tcBorders>
              <w:top w:val="single" w:color="000000" w:sz="4" w:space="0"/>
              <w:left w:val="single" w:color="000000" w:sz="4" w:space="0"/>
              <w:right w:val="single" w:color="000000" w:sz="4" w:space="0"/>
            </w:tcBorders>
            <w:noWrap w:val="0"/>
            <w:vAlign w:val="top"/>
          </w:tcPr>
          <w:p>
            <w:pPr>
              <w:pStyle w:val="11"/>
              <w:spacing w:before="25"/>
              <w:ind w:left="30"/>
              <w:jc w:val="center"/>
              <w:rPr>
                <w:rFonts w:ascii="Wingdings" w:hAnsi="Wingdings"/>
                <w:sz w:val="21"/>
              </w:rPr>
            </w:pPr>
            <w:r>
              <w:rPr>
                <w:rFonts w:ascii="Wingdings" w:hAnsi="Wingdings"/>
                <w:w w:val="99"/>
                <w:sz w:val="21"/>
              </w:rPr>
              <w:t></w:t>
            </w:r>
          </w:p>
        </w:tc>
        <w:tc>
          <w:tcPr>
            <w:tcW w:w="4758" w:type="dxa"/>
            <w:tcBorders>
              <w:top w:val="single" w:color="000000" w:sz="4" w:space="0"/>
              <w:left w:val="single" w:color="000000" w:sz="4" w:space="0"/>
            </w:tcBorders>
            <w:noWrap w:val="0"/>
            <w:vAlign w:val="top"/>
          </w:tcPr>
          <w:p>
            <w:pPr>
              <w:pStyle w:val="11"/>
              <w:spacing w:before="4" w:line="259" w:lineRule="exact"/>
              <w:ind w:left="117" w:right="-29"/>
              <w:jc w:val="center"/>
              <w:rPr>
                <w:sz w:val="21"/>
              </w:rPr>
            </w:pPr>
            <w:r>
              <w:rPr>
                <w:sz w:val="21"/>
              </w:rPr>
              <w:t>160</w:t>
            </w:r>
            <w:r>
              <w:rPr>
                <w:spacing w:val="-10"/>
                <w:sz w:val="21"/>
              </w:rPr>
              <w:t xml:space="preserve"> 集成电路生产企业</w:t>
            </w:r>
            <w:r>
              <w:rPr>
                <w:sz w:val="21"/>
              </w:rPr>
              <w:t>（</w:t>
            </w:r>
            <w:r>
              <w:rPr>
                <w:spacing w:val="-11"/>
                <w:sz w:val="21"/>
              </w:rPr>
              <w:t xml:space="preserve">线宽小于 </w:t>
            </w:r>
            <w:r>
              <w:rPr>
                <w:sz w:val="21"/>
              </w:rPr>
              <w:t>28</w:t>
            </w:r>
            <w:r>
              <w:rPr>
                <w:spacing w:val="-10"/>
                <w:sz w:val="21"/>
              </w:rPr>
              <w:t xml:space="preserve"> 纳米的企业</w:t>
            </w:r>
            <w:r>
              <w:rPr>
                <w:sz w:val="21"/>
              </w:rPr>
              <w:t>）</w:t>
            </w:r>
          </w:p>
        </w:tc>
      </w:tr>
    </w:tbl>
    <w:p>
      <w:pPr>
        <w:keepNext w:val="0"/>
        <w:keepLines w:val="0"/>
        <w:pageBreakBefore w:val="0"/>
        <w:widowControl w:val="0"/>
        <w:numPr>
          <w:ilvl w:val="0"/>
          <w:numId w:val="4"/>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表内、表间关系</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bCs/>
          <w:sz w:val="36"/>
          <w:szCs w:val="36"/>
          <w:lang w:eastAsia="zh-CN"/>
        </w:rPr>
      </w:pPr>
      <w:r>
        <w:rPr>
          <w:rFonts w:hint="eastAsia" w:ascii="微软雅黑" w:hAnsi="微软雅黑" w:eastAsia="微软雅黑" w:cs="微软雅黑"/>
          <w:b w:val="0"/>
          <w:bCs w:val="0"/>
          <w:sz w:val="21"/>
          <w:szCs w:val="21"/>
          <w:lang w:eastAsia="zh-CN"/>
        </w:rPr>
        <w:t>本表第 11 行与 A107040 表行次对应关系表：</w:t>
      </w:r>
    </w:p>
    <w:tbl>
      <w:tblPr>
        <w:tblStyle w:val="8"/>
        <w:tblW w:w="9053" w:type="dxa"/>
        <w:tblInd w:w="87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977"/>
        <w:gridCol w:w="1100"/>
        <w:gridCol w:w="1040"/>
        <w:gridCol w:w="2821"/>
        <w:gridCol w:w="111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2977" w:type="dxa"/>
            <w:tcBorders>
              <w:bottom w:val="single" w:color="000000" w:sz="6" w:space="0"/>
              <w:right w:val="single" w:color="000000" w:sz="6" w:space="0"/>
            </w:tcBorders>
            <w:noWrap w:val="0"/>
            <w:vAlign w:val="top"/>
          </w:tcPr>
          <w:p>
            <w:pPr>
              <w:pStyle w:val="11"/>
              <w:spacing w:before="148"/>
              <w:ind w:left="61" w:right="41"/>
              <w:jc w:val="center"/>
              <w:rPr>
                <w:sz w:val="21"/>
              </w:rPr>
            </w:pPr>
            <w:r>
              <w:rPr>
                <w:sz w:val="21"/>
              </w:rPr>
              <w:t>软件、集成电路企业类型</w:t>
            </w:r>
          </w:p>
        </w:tc>
        <w:tc>
          <w:tcPr>
            <w:tcW w:w="1100" w:type="dxa"/>
            <w:tcBorders>
              <w:left w:val="single" w:color="000000" w:sz="6" w:space="0"/>
              <w:bottom w:val="single" w:color="000000" w:sz="6" w:space="0"/>
              <w:right w:val="single" w:color="000000" w:sz="6" w:space="0"/>
            </w:tcBorders>
            <w:noWrap w:val="0"/>
            <w:vAlign w:val="top"/>
          </w:tcPr>
          <w:p>
            <w:pPr>
              <w:pStyle w:val="11"/>
              <w:spacing w:before="13" w:line="270" w:lineRule="atLeast"/>
              <w:ind w:left="135" w:right="109"/>
              <w:rPr>
                <w:sz w:val="21"/>
              </w:rPr>
            </w:pPr>
            <w:r>
              <w:rPr>
                <w:sz w:val="21"/>
              </w:rPr>
              <w:t>选择适用优惠政策</w:t>
            </w:r>
          </w:p>
        </w:tc>
        <w:tc>
          <w:tcPr>
            <w:tcW w:w="1040" w:type="dxa"/>
            <w:tcBorders>
              <w:left w:val="single" w:color="000000" w:sz="6" w:space="0"/>
              <w:bottom w:val="single" w:color="000000" w:sz="6" w:space="0"/>
              <w:right w:val="single" w:color="000000" w:sz="6" w:space="0"/>
            </w:tcBorders>
            <w:noWrap w:val="0"/>
            <w:vAlign w:val="top"/>
          </w:tcPr>
          <w:p>
            <w:pPr>
              <w:pStyle w:val="11"/>
              <w:spacing w:before="13" w:line="270" w:lineRule="atLeast"/>
              <w:ind w:left="211" w:right="182"/>
              <w:rPr>
                <w:sz w:val="21"/>
              </w:rPr>
            </w:pPr>
            <w:r>
              <w:rPr>
                <w:sz w:val="21"/>
              </w:rPr>
              <w:t>优惠方式代码</w:t>
            </w:r>
          </w:p>
        </w:tc>
        <w:tc>
          <w:tcPr>
            <w:tcW w:w="2821" w:type="dxa"/>
            <w:tcBorders>
              <w:left w:val="single" w:color="000000" w:sz="6" w:space="0"/>
              <w:bottom w:val="single" w:color="000000" w:sz="6" w:space="0"/>
              <w:right w:val="single" w:color="000000" w:sz="6" w:space="0"/>
            </w:tcBorders>
            <w:noWrap w:val="0"/>
            <w:vAlign w:val="top"/>
          </w:tcPr>
          <w:p>
            <w:pPr>
              <w:pStyle w:val="11"/>
              <w:spacing w:before="148"/>
              <w:ind w:left="786"/>
              <w:rPr>
                <w:sz w:val="21"/>
              </w:rPr>
            </w:pPr>
            <w:r>
              <w:rPr>
                <w:sz w:val="21"/>
              </w:rPr>
              <w:t>减免方式类型</w:t>
            </w:r>
          </w:p>
        </w:tc>
        <w:tc>
          <w:tcPr>
            <w:tcW w:w="1115" w:type="dxa"/>
            <w:tcBorders>
              <w:left w:val="single" w:color="000000" w:sz="6" w:space="0"/>
              <w:bottom w:val="single" w:color="000000" w:sz="6" w:space="0"/>
            </w:tcBorders>
            <w:noWrap w:val="0"/>
            <w:vAlign w:val="top"/>
          </w:tcPr>
          <w:p>
            <w:pPr>
              <w:pStyle w:val="11"/>
              <w:spacing w:before="14"/>
              <w:ind w:left="197"/>
              <w:rPr>
                <w:sz w:val="21"/>
              </w:rPr>
            </w:pPr>
            <w:r>
              <w:rPr>
                <w:sz w:val="21"/>
              </w:rPr>
              <w:t>A107040</w:t>
            </w:r>
          </w:p>
          <w:p>
            <w:pPr>
              <w:pStyle w:val="11"/>
              <w:spacing w:before="2" w:line="265" w:lineRule="exact"/>
              <w:ind w:left="142"/>
              <w:rPr>
                <w:sz w:val="21"/>
              </w:rPr>
            </w:pPr>
            <w:r>
              <w:rPr>
                <w:sz w:val="21"/>
              </w:rPr>
              <w:t>对应行次</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26"/>
              <w:ind w:left="107"/>
              <w:rPr>
                <w:sz w:val="21"/>
              </w:rPr>
            </w:pPr>
            <w:r>
              <w:rPr>
                <w:sz w:val="21"/>
              </w:rPr>
              <w:t>110 集成电路生产企业（线宽</w:t>
            </w:r>
          </w:p>
          <w:p>
            <w:pPr>
              <w:pStyle w:val="11"/>
              <w:spacing w:before="3"/>
              <w:ind w:left="107"/>
              <w:rPr>
                <w:sz w:val="21"/>
              </w:rPr>
            </w:pPr>
            <w:r>
              <w:rPr>
                <w:sz w:val="21"/>
              </w:rPr>
              <w:t>小于 0</w:t>
            </w:r>
            <w:r>
              <w:rPr>
                <w:rFonts w:hint="eastAsia"/>
                <w:sz w:val="21"/>
                <w:lang w:eastAsia="zh-CN"/>
              </w:rPr>
              <w:t>、</w:t>
            </w:r>
            <w:r>
              <w:rPr>
                <w:sz w:val="21"/>
              </w:rPr>
              <w:t>8 微米的企业）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36"/>
              <w:jc w:val="center"/>
              <w:rPr>
                <w:sz w:val="21"/>
              </w:rPr>
            </w:pPr>
            <w:r>
              <w:rPr>
                <w:w w:val="99"/>
                <w:sz w:val="21"/>
              </w:rPr>
              <w:t>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9"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0" w:lineRule="exact"/>
              <w:ind w:left="36"/>
              <w:jc w:val="center"/>
              <w:rPr>
                <w:sz w:val="21"/>
              </w:rPr>
            </w:pPr>
            <w:r>
              <w:rPr>
                <w:w w:val="99"/>
                <w:sz w:val="21"/>
              </w:rPr>
              <w:t>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26"/>
              <w:ind w:left="107"/>
              <w:rPr>
                <w:sz w:val="21"/>
              </w:rPr>
            </w:pPr>
            <w:r>
              <w:rPr>
                <w:sz w:val="21"/>
              </w:rPr>
              <w:t>120 集成电路生产企业（线宽</w:t>
            </w:r>
          </w:p>
          <w:p>
            <w:pPr>
              <w:pStyle w:val="11"/>
              <w:spacing w:before="2"/>
              <w:ind w:left="107"/>
              <w:rPr>
                <w:sz w:val="21"/>
              </w:rPr>
            </w:pPr>
            <w:r>
              <w:rPr>
                <w:sz w:val="21"/>
              </w:rPr>
              <w:t>小于 0</w:t>
            </w:r>
            <w:r>
              <w:rPr>
                <w:rFonts w:hint="eastAsia"/>
                <w:sz w:val="21"/>
                <w:lang w:eastAsia="zh-CN"/>
              </w:rPr>
              <w:t>、</w:t>
            </w:r>
            <w:r>
              <w:rPr>
                <w:sz w:val="21"/>
              </w:rPr>
              <w:t>25 微米的企业）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210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Pr>
                <w:sz w:val="21"/>
              </w:rPr>
            </w:pPr>
            <w:r>
              <w:rPr>
                <w:sz w:val="21"/>
              </w:rPr>
              <w:t>企业五免五减半（免税）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36"/>
              <w:jc w:val="center"/>
              <w:rPr>
                <w:sz w:val="21"/>
              </w:rPr>
            </w:pPr>
            <w:r>
              <w:rPr>
                <w:w w:val="99"/>
                <w:sz w:val="21"/>
              </w:rPr>
              <w:t>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220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ight="-29"/>
              <w:rPr>
                <w:sz w:val="21"/>
              </w:rPr>
            </w:pPr>
            <w:r>
              <w:rPr>
                <w:spacing w:val="-3"/>
                <w:sz w:val="21"/>
              </w:rPr>
              <w:t>企业五免五减半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36"/>
              <w:jc w:val="center"/>
              <w:rPr>
                <w:sz w:val="21"/>
              </w:rPr>
            </w:pPr>
            <w:r>
              <w:rPr>
                <w:w w:val="99"/>
                <w:sz w:val="21"/>
              </w:rPr>
              <w:t>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26"/>
              <w:ind w:left="107"/>
              <w:rPr>
                <w:sz w:val="21"/>
              </w:rPr>
            </w:pPr>
            <w:r>
              <w:rPr>
                <w:sz w:val="21"/>
              </w:rPr>
              <w:t>130 集成电路生产企业（投资</w:t>
            </w:r>
          </w:p>
          <w:p>
            <w:pPr>
              <w:pStyle w:val="11"/>
              <w:spacing w:before="2"/>
              <w:ind w:left="107"/>
              <w:rPr>
                <w:sz w:val="21"/>
              </w:rPr>
            </w:pPr>
            <w:r>
              <w:rPr>
                <w:sz w:val="21"/>
              </w:rPr>
              <w:t>额超过 80 亿元的企业）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210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Pr>
                <w:sz w:val="21"/>
              </w:rPr>
            </w:pPr>
            <w:r>
              <w:rPr>
                <w:sz w:val="21"/>
              </w:rPr>
              <w:t>企业五免五减半（免税）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175" w:right="139"/>
              <w:jc w:val="center"/>
              <w:rPr>
                <w:sz w:val="21"/>
              </w:rPr>
            </w:pP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220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ight="-29"/>
              <w:rPr>
                <w:sz w:val="21"/>
              </w:rPr>
            </w:pPr>
            <w:r>
              <w:rPr>
                <w:spacing w:val="-3"/>
                <w:sz w:val="21"/>
              </w:rPr>
              <w:t>企业五免五减半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175" w:right="139"/>
              <w:jc w:val="center"/>
              <w:rPr>
                <w:sz w:val="21"/>
              </w:rPr>
            </w:pP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9"/>
              <w:rPr>
                <w:sz w:val="25"/>
              </w:rPr>
            </w:pPr>
          </w:p>
          <w:p>
            <w:pPr>
              <w:pStyle w:val="11"/>
              <w:spacing w:before="1"/>
              <w:ind w:left="107"/>
              <w:rPr>
                <w:sz w:val="21"/>
              </w:rPr>
            </w:pPr>
            <w:r>
              <w:rPr>
                <w:sz w:val="21"/>
              </w:rPr>
              <w:t>140 集成电路生产企业（线宽</w:t>
            </w:r>
          </w:p>
          <w:p>
            <w:pPr>
              <w:pStyle w:val="11"/>
              <w:spacing w:before="4"/>
              <w:ind w:left="107"/>
              <w:rPr>
                <w:sz w:val="21"/>
              </w:rPr>
            </w:pPr>
            <w:r>
              <w:rPr>
                <w:sz w:val="21"/>
              </w:rPr>
              <w:t>小于 130 纳米的企业）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1" w:lineRule="exact"/>
              <w:ind w:left="175" w:right="139"/>
              <w:jc w:val="center"/>
              <w:rPr>
                <w:sz w:val="21"/>
              </w:rPr>
            </w:pPr>
            <w:r>
              <w:rPr>
                <w:sz w:val="21"/>
              </w:rPr>
              <w:t>26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5" w:right="139"/>
              <w:jc w:val="center"/>
              <w:rPr>
                <w:sz w:val="21"/>
              </w:rPr>
            </w:pPr>
            <w:r>
              <w:rPr>
                <w:sz w:val="21"/>
              </w:rPr>
              <w:t>26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3</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3</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2"/>
              <w:rPr>
                <w:sz w:val="15"/>
              </w:rPr>
            </w:pPr>
          </w:p>
          <w:p>
            <w:pPr>
              <w:pStyle w:val="11"/>
              <w:spacing w:before="1"/>
              <w:ind w:left="107"/>
              <w:rPr>
                <w:sz w:val="21"/>
              </w:rPr>
            </w:pPr>
            <w:r>
              <w:rPr>
                <w:sz w:val="21"/>
              </w:rPr>
              <w:t>150 集成电路生产企业（线宽</w:t>
            </w:r>
          </w:p>
          <w:p>
            <w:pPr>
              <w:pStyle w:val="11"/>
              <w:spacing w:before="2" w:line="242" w:lineRule="auto"/>
              <w:ind w:left="107" w:right="83"/>
              <w:rPr>
                <w:sz w:val="21"/>
              </w:rPr>
            </w:pPr>
            <w:r>
              <w:rPr>
                <w:spacing w:val="-21"/>
                <w:sz w:val="21"/>
              </w:rPr>
              <w:t xml:space="preserve">小于 </w:t>
            </w:r>
            <w:r>
              <w:rPr>
                <w:sz w:val="21"/>
              </w:rPr>
              <w:t>65</w:t>
            </w:r>
            <w:r>
              <w:rPr>
                <w:spacing w:val="-15"/>
                <w:sz w:val="21"/>
              </w:rPr>
              <w:t xml:space="preserve"> 纳米或投资额超过 </w:t>
            </w:r>
            <w:r>
              <w:rPr>
                <w:sz w:val="21"/>
              </w:rPr>
              <w:t>150 亿元的企业）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210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Pr>
                <w:sz w:val="21"/>
              </w:rPr>
            </w:pPr>
            <w:r>
              <w:rPr>
                <w:sz w:val="21"/>
              </w:rPr>
              <w:t>企业五免五减半（免税）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5" w:right="139"/>
              <w:jc w:val="center"/>
              <w:rPr>
                <w:sz w:val="21"/>
              </w:rPr>
            </w:pPr>
            <w:r>
              <w:rPr>
                <w:sz w:val="21"/>
              </w:rPr>
              <w:t>27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220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ight="-29"/>
              <w:rPr>
                <w:sz w:val="21"/>
              </w:rPr>
            </w:pPr>
            <w:r>
              <w:rPr>
                <w:spacing w:val="-3"/>
                <w:sz w:val="21"/>
              </w:rPr>
              <w:t>企业五免五减半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5" w:right="139"/>
              <w:jc w:val="center"/>
              <w:rPr>
                <w:sz w:val="21"/>
              </w:rPr>
            </w:pPr>
            <w:r>
              <w:rPr>
                <w:sz w:val="21"/>
              </w:rPr>
              <w:t>27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210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Pr>
                <w:sz w:val="21"/>
              </w:rPr>
            </w:pPr>
            <w:r>
              <w:rPr>
                <w:sz w:val="21"/>
              </w:rPr>
              <w:t>企业五免五减半（免税）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2</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367"/>
              <w:rPr>
                <w:sz w:val="21"/>
              </w:rPr>
            </w:pPr>
            <w:r>
              <w:rPr>
                <w:sz w:val="21"/>
              </w:rPr>
              <w:t>220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114" w:right="-29"/>
              <w:rPr>
                <w:sz w:val="21"/>
              </w:rPr>
            </w:pPr>
            <w:r>
              <w:rPr>
                <w:spacing w:val="-3"/>
                <w:sz w:val="21"/>
              </w:rPr>
              <w:t>企业五免五减半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0"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2</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tcBorders>
              <w:top w:val="single" w:color="000000" w:sz="6" w:space="0"/>
              <w:bottom w:val="single" w:color="000000" w:sz="6" w:space="0"/>
              <w:right w:val="single" w:color="000000" w:sz="6" w:space="0"/>
            </w:tcBorders>
            <w:noWrap w:val="0"/>
            <w:vAlign w:val="top"/>
          </w:tcPr>
          <w:p>
            <w:pPr>
              <w:pStyle w:val="11"/>
              <w:spacing w:before="2"/>
              <w:ind w:left="107"/>
              <w:rPr>
                <w:sz w:val="21"/>
              </w:rPr>
            </w:pPr>
            <w:r>
              <w:rPr>
                <w:sz w:val="21"/>
              </w:rPr>
              <w:t>160 集成电路生产企业（线宽</w:t>
            </w:r>
          </w:p>
          <w:p>
            <w:pPr>
              <w:pStyle w:val="11"/>
              <w:spacing w:before="2" w:line="252" w:lineRule="exact"/>
              <w:ind w:left="107"/>
              <w:rPr>
                <w:sz w:val="21"/>
              </w:rPr>
            </w:pPr>
            <w:r>
              <w:rPr>
                <w:sz w:val="21"/>
              </w:rPr>
              <w:t>小于 28 纳米的企业）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367"/>
              <w:rPr>
                <w:sz w:val="21"/>
              </w:rPr>
            </w:pPr>
            <w:r>
              <w:rPr>
                <w:sz w:val="21"/>
              </w:rPr>
              <w:t>900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114"/>
              <w:rPr>
                <w:sz w:val="21"/>
              </w:rPr>
            </w:pPr>
            <w:r>
              <w:rPr>
                <w:sz w:val="21"/>
              </w:rPr>
              <w:t>企业十免（免税）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136"/>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restart"/>
            <w:tcBorders>
              <w:top w:val="single" w:color="000000" w:sz="6" w:space="0"/>
              <w:right w:val="single" w:color="000000" w:sz="6" w:space="0"/>
            </w:tcBorders>
            <w:noWrap w:val="0"/>
            <w:vAlign w:val="top"/>
          </w:tcPr>
          <w:p>
            <w:pPr>
              <w:pStyle w:val="11"/>
              <w:spacing w:line="255" w:lineRule="exact"/>
              <w:ind w:left="107"/>
              <w:rPr>
                <w:sz w:val="21"/>
              </w:rPr>
            </w:pPr>
            <w:r>
              <w:rPr>
                <w:sz w:val="21"/>
              </w:rPr>
              <w:t>210 集成电路设计企业（新办符合条件的集成电路设计企业</w:t>
            </w:r>
          </w:p>
          <w:p>
            <w:pPr>
              <w:pStyle w:val="11"/>
              <w:spacing w:before="8" w:line="259" w:lineRule="exact"/>
              <w:ind w:left="61" w:right="122"/>
              <w:jc w:val="center"/>
              <w:rPr>
                <w:sz w:val="21"/>
              </w:rPr>
            </w:pPr>
            <w:r>
              <w:rPr>
                <w:sz w:val="21"/>
              </w:rPr>
              <w:t>\国家鼓励的集成电路设计企业）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59"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59"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59"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59" w:lineRule="exact"/>
              <w:ind w:left="175" w:right="139"/>
              <w:jc w:val="center"/>
              <w:rPr>
                <w:sz w:val="21"/>
              </w:rPr>
            </w:pPr>
            <w:r>
              <w:rPr>
                <w:sz w:val="21"/>
              </w:rPr>
              <w:t>11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continue"/>
            <w:tcBorders>
              <w:right w:val="single" w:color="000000" w:sz="6" w:space="0"/>
            </w:tcBorders>
            <w:noWrap w:val="0"/>
            <w:vAlign w:val="top"/>
          </w:tcPr>
          <w:p>
            <w:pPr>
              <w:pStyle w:val="11"/>
              <w:spacing w:before="8" w:line="259" w:lineRule="exact"/>
              <w:ind w:left="61" w:right="122"/>
              <w:jc w:val="center"/>
              <w:rPr>
                <w:sz w:val="21"/>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55" w:lineRule="exact"/>
              <w:ind w:left="220" w:leftChars="0" w:right="194" w:rightChars="0"/>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55" w:lineRule="exact"/>
              <w:ind w:left="367" w:leftChars="0"/>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55" w:lineRule="exact"/>
              <w:ind w:left="114" w:leftChars="0" w:right="-29" w:rightChars="0"/>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line="255" w:lineRule="exact"/>
              <w:ind w:left="175" w:leftChars="0" w:right="139" w:rightChars="0"/>
              <w:jc w:val="center"/>
              <w:rPr>
                <w:sz w:val="21"/>
              </w:rPr>
            </w:pPr>
            <w:r>
              <w:rPr>
                <w:sz w:val="21"/>
              </w:rPr>
              <w:t>11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continue"/>
            <w:tcBorders>
              <w:right w:val="single" w:color="000000" w:sz="6" w:space="0"/>
            </w:tcBorders>
            <w:noWrap w:val="0"/>
            <w:vAlign w:val="top"/>
          </w:tcPr>
          <w:p>
            <w:pPr>
              <w:pStyle w:val="11"/>
              <w:spacing w:before="8" w:line="259" w:lineRule="exact"/>
              <w:ind w:left="61" w:right="122"/>
              <w:jc w:val="center"/>
              <w:rPr>
                <w:sz w:val="21"/>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220" w:leftChars="0" w:right="194" w:rightChars="0"/>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367" w:leftChars="0"/>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114" w:leftChars="0"/>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0" w:lineRule="exact"/>
              <w:ind w:left="173" w:leftChars="0" w:right="139" w:rightChars="0"/>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continue"/>
            <w:tcBorders>
              <w:bottom w:val="single" w:color="000000" w:sz="6" w:space="0"/>
              <w:right w:val="single" w:color="000000" w:sz="6" w:space="0"/>
            </w:tcBorders>
            <w:noWrap w:val="0"/>
            <w:vAlign w:val="top"/>
          </w:tcPr>
          <w:p>
            <w:pPr>
              <w:pStyle w:val="11"/>
              <w:spacing w:before="8" w:line="259" w:lineRule="exact"/>
              <w:ind w:left="61" w:right="122"/>
              <w:jc w:val="center"/>
              <w:rPr>
                <w:sz w:val="21"/>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leftChars="0" w:right="194" w:rightChars="0"/>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leftChars="0"/>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leftChars="0" w:right="-29" w:rightChars="0"/>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173" w:leftChars="0" w:right="139" w:rightChars="0"/>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4</w:t>
            </w:r>
          </w:p>
        </w:tc>
      </w:tr>
    </w:tbl>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微软雅黑" w:hAnsi="微软雅黑" w:eastAsia="微软雅黑" w:cs="微软雅黑"/>
          <w:b/>
          <w:bCs/>
          <w:lang w:eastAsia="zh-CN"/>
        </w:rPr>
      </w:pPr>
    </w:p>
    <w:tbl>
      <w:tblPr>
        <w:tblStyle w:val="8"/>
        <w:tblW w:w="9053" w:type="dxa"/>
        <w:tblInd w:w="87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977"/>
        <w:gridCol w:w="1100"/>
        <w:gridCol w:w="1040"/>
        <w:gridCol w:w="2821"/>
        <w:gridCol w:w="111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6" w:line="242" w:lineRule="auto"/>
              <w:ind w:left="107" w:right="116"/>
              <w:rPr>
                <w:sz w:val="21"/>
              </w:rPr>
            </w:pPr>
            <w:r>
              <w:rPr>
                <w:sz w:val="21"/>
              </w:rPr>
              <w:t>220 集成电路设计企业（符合规模条件的重点集成电路设计</w:t>
            </w:r>
          </w:p>
          <w:p>
            <w:pPr>
              <w:pStyle w:val="11"/>
              <w:spacing w:before="1" w:line="269" w:lineRule="exact"/>
              <w:ind w:left="107"/>
              <w:rPr>
                <w:sz w:val="21"/>
              </w:rPr>
            </w:pPr>
            <w:r>
              <w:rPr>
                <w:sz w:val="21"/>
              </w:rPr>
              <w:t>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line="270" w:lineRule="atLeast"/>
              <w:ind w:left="114" w:right="158"/>
              <w:rPr>
                <w:sz w:val="21"/>
              </w:rPr>
            </w:pPr>
            <w:r>
              <w:rPr>
                <w:sz w:val="21"/>
              </w:rPr>
              <w:t>企业减按 10%税率征收企业所得税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6"/>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3"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5" w:line="242" w:lineRule="auto"/>
              <w:ind w:left="107" w:right="77"/>
              <w:rPr>
                <w:sz w:val="21"/>
              </w:rPr>
            </w:pPr>
            <w:r>
              <w:rPr>
                <w:sz w:val="21"/>
              </w:rPr>
              <w:t>230 集成电路设计企业（符合领域条件的重点集成电路设计</w:t>
            </w:r>
          </w:p>
          <w:p>
            <w:pPr>
              <w:pStyle w:val="11"/>
              <w:spacing w:before="1" w:line="269" w:lineRule="exact"/>
              <w:ind w:left="107"/>
              <w:rPr>
                <w:sz w:val="21"/>
              </w:rPr>
            </w:pPr>
            <w:r>
              <w:rPr>
                <w:sz w:val="21"/>
              </w:rPr>
              <w:t>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5"/>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5"/>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4"/>
              <w:rPr>
                <w:sz w:val="21"/>
              </w:rPr>
            </w:pPr>
            <w:r>
              <w:rPr>
                <w:sz w:val="21"/>
              </w:rPr>
              <w:t>企业减按 10%税率征收企业</w:t>
            </w:r>
          </w:p>
          <w:p>
            <w:pPr>
              <w:pStyle w:val="11"/>
              <w:spacing w:before="2" w:line="252" w:lineRule="exact"/>
              <w:ind w:left="114"/>
              <w:rPr>
                <w:sz w:val="21"/>
              </w:rPr>
            </w:pPr>
            <w:r>
              <w:rPr>
                <w:sz w:val="21"/>
              </w:rPr>
              <w:t>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5"/>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9"/>
              <w:rPr>
                <w:rFonts w:ascii="Times New Roman"/>
                <w:sz w:val="16"/>
              </w:rPr>
            </w:pPr>
          </w:p>
          <w:p>
            <w:pPr>
              <w:pStyle w:val="11"/>
              <w:ind w:left="107"/>
              <w:rPr>
                <w:sz w:val="21"/>
              </w:rPr>
            </w:pPr>
            <w:r>
              <w:rPr>
                <w:sz w:val="21"/>
              </w:rPr>
              <w:t>311 软件企业（一般软件企业</w:t>
            </w:r>
          </w:p>
          <w:p>
            <w:pPr>
              <w:pStyle w:val="11"/>
              <w:spacing w:before="4" w:line="242" w:lineRule="auto"/>
              <w:ind w:left="107" w:right="221"/>
              <w:rPr>
                <w:sz w:val="21"/>
              </w:rPr>
            </w:pPr>
            <w:r>
              <w:rPr>
                <w:sz w:val="21"/>
              </w:rPr>
              <w:t>—符合条件的软件企业\国家鼓励的软件企业）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5" w:right="139"/>
              <w:jc w:val="center"/>
              <w:rPr>
                <w:sz w:val="21"/>
              </w:rPr>
            </w:pPr>
            <w:r>
              <w:rPr>
                <w:sz w:val="21"/>
              </w:rPr>
              <w:t>13</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5" w:right="139"/>
              <w:jc w:val="center"/>
              <w:rPr>
                <w:sz w:val="21"/>
              </w:rPr>
            </w:pPr>
            <w:r>
              <w:rPr>
                <w:sz w:val="21"/>
              </w:rPr>
              <w:t>13</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7"/>
              <w:ind w:left="107"/>
              <w:rPr>
                <w:sz w:val="21"/>
              </w:rPr>
            </w:pPr>
            <w:r>
              <w:rPr>
                <w:sz w:val="21"/>
              </w:rPr>
              <w:t>312 软件企业（一般软件企业</w:t>
            </w:r>
          </w:p>
          <w:p>
            <w:pPr>
              <w:pStyle w:val="11"/>
              <w:spacing w:before="1" w:line="270" w:lineRule="atLeast"/>
              <w:ind w:left="107" w:right="77"/>
              <w:rPr>
                <w:sz w:val="21"/>
              </w:rPr>
            </w:pPr>
            <w:r>
              <w:rPr>
                <w:sz w:val="21"/>
              </w:rPr>
              <w:t>—符合规模条件的重点软件企业）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7"/>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7"/>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ind w:left="114"/>
              <w:rPr>
                <w:sz w:val="21"/>
              </w:rPr>
            </w:pPr>
            <w:r>
              <w:rPr>
                <w:sz w:val="21"/>
              </w:rPr>
              <w:t>企业减按 10%税率征收企业</w:t>
            </w:r>
          </w:p>
          <w:p>
            <w:pPr>
              <w:pStyle w:val="11"/>
              <w:spacing w:before="5" w:line="251" w:lineRule="exact"/>
              <w:ind w:left="114"/>
              <w:rPr>
                <w:sz w:val="21"/>
              </w:rPr>
            </w:pPr>
            <w:r>
              <w:rPr>
                <w:sz w:val="21"/>
              </w:rPr>
              <w:t>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7"/>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6"/>
              <w:ind w:left="107"/>
              <w:rPr>
                <w:sz w:val="21"/>
              </w:rPr>
            </w:pPr>
            <w:r>
              <w:rPr>
                <w:sz w:val="21"/>
              </w:rPr>
              <w:t>313 软件企业（一般软件企业</w:t>
            </w:r>
          </w:p>
          <w:p>
            <w:pPr>
              <w:pStyle w:val="11"/>
              <w:spacing w:before="2"/>
              <w:ind w:left="107"/>
              <w:rPr>
                <w:sz w:val="21"/>
              </w:rPr>
            </w:pPr>
            <w:r>
              <w:rPr>
                <w:sz w:val="21"/>
              </w:rPr>
              <w:t>—符合领域条件的重点软件企</w:t>
            </w:r>
          </w:p>
          <w:p>
            <w:pPr>
              <w:pStyle w:val="11"/>
              <w:spacing w:before="4"/>
              <w:ind w:left="107"/>
              <w:rPr>
                <w:sz w:val="21"/>
              </w:rPr>
            </w:pPr>
            <w:r>
              <w:rPr>
                <w:sz w:val="21"/>
              </w:rPr>
              <w:t>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4"/>
              <w:rPr>
                <w:sz w:val="21"/>
              </w:rPr>
            </w:pPr>
            <w:r>
              <w:rPr>
                <w:sz w:val="21"/>
              </w:rPr>
              <w:t>企业减按 10%税率征收企业</w:t>
            </w:r>
          </w:p>
          <w:p>
            <w:pPr>
              <w:pStyle w:val="11"/>
              <w:spacing w:before="3" w:line="252" w:lineRule="exact"/>
              <w:ind w:left="114"/>
              <w:rPr>
                <w:sz w:val="21"/>
              </w:rPr>
            </w:pPr>
            <w:r>
              <w:rPr>
                <w:sz w:val="21"/>
              </w:rPr>
              <w:t>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6"/>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7"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3"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5"/>
              <w:ind w:left="107"/>
              <w:rPr>
                <w:sz w:val="21"/>
              </w:rPr>
            </w:pPr>
            <w:r>
              <w:rPr>
                <w:sz w:val="21"/>
              </w:rPr>
              <w:t>314 软件企业（一般软件企业</w:t>
            </w:r>
          </w:p>
          <w:p>
            <w:pPr>
              <w:pStyle w:val="11"/>
              <w:spacing w:before="2"/>
              <w:ind w:left="107"/>
              <w:rPr>
                <w:sz w:val="21"/>
              </w:rPr>
            </w:pPr>
            <w:r>
              <w:rPr>
                <w:sz w:val="21"/>
              </w:rPr>
              <w:t>—符合出口条件的重点软件企</w:t>
            </w:r>
          </w:p>
          <w:p>
            <w:pPr>
              <w:pStyle w:val="11"/>
              <w:spacing w:before="4"/>
              <w:ind w:left="107"/>
              <w:rPr>
                <w:sz w:val="21"/>
              </w:rPr>
            </w:pPr>
            <w:r>
              <w:rPr>
                <w:sz w:val="21"/>
              </w:rPr>
              <w:t>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5"/>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5"/>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ind w:left="114"/>
              <w:rPr>
                <w:sz w:val="21"/>
              </w:rPr>
            </w:pPr>
            <w:r>
              <w:rPr>
                <w:sz w:val="21"/>
              </w:rPr>
              <w:t>企业减按 10%税率征收企业</w:t>
            </w:r>
          </w:p>
          <w:p>
            <w:pPr>
              <w:pStyle w:val="11"/>
              <w:spacing w:before="3" w:line="252" w:lineRule="exact"/>
              <w:ind w:left="114"/>
              <w:rPr>
                <w:sz w:val="21"/>
              </w:rPr>
            </w:pPr>
            <w:r>
              <w:rPr>
                <w:sz w:val="21"/>
              </w:rPr>
              <w:t>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5"/>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1"/>
              <w:rPr>
                <w:rFonts w:ascii="Times New Roman"/>
                <w:sz w:val="16"/>
              </w:rPr>
            </w:pPr>
          </w:p>
          <w:p>
            <w:pPr>
              <w:pStyle w:val="11"/>
              <w:spacing w:line="242" w:lineRule="auto"/>
              <w:ind w:left="107" w:right="10"/>
              <w:jc w:val="both"/>
              <w:rPr>
                <w:sz w:val="21"/>
              </w:rPr>
            </w:pPr>
            <w:r>
              <w:rPr>
                <w:sz w:val="21"/>
              </w:rPr>
              <w:t>321 软件企业（嵌入式或信息系统集成软件—符合条件的软件企业\国家鼓励的软件企业）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5" w:right="139"/>
              <w:jc w:val="center"/>
              <w:rPr>
                <w:sz w:val="21"/>
              </w:rPr>
            </w:pPr>
            <w:r>
              <w:rPr>
                <w:sz w:val="21"/>
              </w:rPr>
              <w:t>13</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5" w:right="139"/>
              <w:jc w:val="center"/>
              <w:rPr>
                <w:sz w:val="21"/>
              </w:rPr>
            </w:pPr>
            <w:r>
              <w:rPr>
                <w:sz w:val="21"/>
              </w:rPr>
              <w:t>13</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0" w:line="260"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10" w:line="260"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0"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0"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5" w:line="270" w:lineRule="atLeast"/>
              <w:ind w:left="107" w:right="118"/>
              <w:jc w:val="both"/>
              <w:rPr>
                <w:sz w:val="21"/>
              </w:rPr>
            </w:pPr>
            <w:r>
              <w:rPr>
                <w:sz w:val="21"/>
              </w:rPr>
              <w:t>322</w:t>
            </w:r>
            <w:r>
              <w:rPr>
                <w:spacing w:val="-12"/>
                <w:sz w:val="21"/>
              </w:rPr>
              <w:t xml:space="preserve"> 软件企业</w:t>
            </w:r>
            <w:r>
              <w:rPr>
                <w:sz w:val="21"/>
              </w:rPr>
              <w:t>（嵌入式或信息</w:t>
            </w:r>
            <w:r>
              <w:rPr>
                <w:spacing w:val="-1"/>
                <w:sz w:val="21"/>
              </w:rPr>
              <w:t>系统集成软件产品企业—符合</w:t>
            </w:r>
            <w:r>
              <w:rPr>
                <w:sz w:val="21"/>
              </w:rPr>
              <w:t>规模条件的重点软件企业）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6"/>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line="270" w:lineRule="atLeast"/>
              <w:ind w:left="114" w:right="158"/>
              <w:rPr>
                <w:sz w:val="21"/>
              </w:rPr>
            </w:pPr>
            <w:r>
              <w:rPr>
                <w:sz w:val="21"/>
              </w:rPr>
              <w:t>企业减按 10%税率征收企业所得税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6"/>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1" w:lineRule="exact"/>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5"/>
              <w:ind w:left="107"/>
              <w:rPr>
                <w:sz w:val="21"/>
              </w:rPr>
            </w:pPr>
            <w:r>
              <w:rPr>
                <w:sz w:val="21"/>
              </w:rPr>
              <w:t>323 软件企业（嵌入式或信息</w:t>
            </w:r>
          </w:p>
          <w:p>
            <w:pPr>
              <w:pStyle w:val="11"/>
              <w:spacing w:before="4" w:line="270" w:lineRule="atLeast"/>
              <w:ind w:left="107" w:right="77"/>
              <w:rPr>
                <w:sz w:val="21"/>
              </w:rPr>
            </w:pPr>
            <w:r>
              <w:rPr>
                <w:sz w:val="21"/>
              </w:rPr>
              <w:t>系统集成软件产品企业—符合领域条件的重点软件企业）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5"/>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5"/>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
              <w:ind w:left="114"/>
              <w:rPr>
                <w:sz w:val="21"/>
              </w:rPr>
            </w:pPr>
            <w:r>
              <w:rPr>
                <w:sz w:val="21"/>
              </w:rPr>
              <w:t>企业减按 10%税率征收企业</w:t>
            </w:r>
          </w:p>
          <w:p>
            <w:pPr>
              <w:pStyle w:val="11"/>
              <w:spacing w:before="2" w:line="253" w:lineRule="exact"/>
              <w:ind w:left="114"/>
              <w:rPr>
                <w:sz w:val="21"/>
              </w:rPr>
            </w:pPr>
            <w:r>
              <w:rPr>
                <w:sz w:val="21"/>
              </w:rPr>
              <w:t>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5"/>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2"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2"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7" w:line="262" w:lineRule="exact"/>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14" w:line="242" w:lineRule="auto"/>
              <w:ind w:left="107" w:right="118"/>
              <w:jc w:val="both"/>
              <w:rPr>
                <w:sz w:val="21"/>
              </w:rPr>
            </w:pPr>
            <w:r>
              <w:rPr>
                <w:sz w:val="21"/>
              </w:rPr>
              <w:t>324</w:t>
            </w:r>
            <w:r>
              <w:rPr>
                <w:spacing w:val="-12"/>
                <w:sz w:val="21"/>
              </w:rPr>
              <w:t xml:space="preserve"> 软件企业</w:t>
            </w:r>
            <w:r>
              <w:rPr>
                <w:sz w:val="21"/>
              </w:rPr>
              <w:t>（嵌入式或信息</w:t>
            </w:r>
            <w:r>
              <w:rPr>
                <w:spacing w:val="-1"/>
                <w:sz w:val="21"/>
              </w:rPr>
              <w:t>系统集成软件产品企业—符合</w:t>
            </w:r>
            <w:r>
              <w:rPr>
                <w:sz w:val="21"/>
              </w:rPr>
              <w:t>出口条件的重点软件企业）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4"/>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134"/>
              <w:ind w:left="367"/>
              <w:rPr>
                <w:sz w:val="21"/>
              </w:rPr>
            </w:pPr>
            <w:r>
              <w:rPr>
                <w:sz w:val="21"/>
              </w:rPr>
              <w:t>300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ind w:left="114"/>
              <w:rPr>
                <w:sz w:val="21"/>
              </w:rPr>
            </w:pPr>
            <w:r>
              <w:rPr>
                <w:sz w:val="21"/>
              </w:rPr>
              <w:t>企业减按 10%税率征收企业</w:t>
            </w:r>
          </w:p>
          <w:p>
            <w:pPr>
              <w:pStyle w:val="11"/>
              <w:spacing w:before="2" w:line="254" w:lineRule="exact"/>
              <w:ind w:left="114"/>
              <w:rPr>
                <w:sz w:val="21"/>
              </w:rPr>
            </w:pPr>
            <w:r>
              <w:rPr>
                <w:sz w:val="21"/>
              </w:rPr>
              <w:t>所得税</w:t>
            </w:r>
          </w:p>
        </w:tc>
        <w:tc>
          <w:tcPr>
            <w:tcW w:w="1115" w:type="dxa"/>
            <w:tcBorders>
              <w:top w:val="single" w:color="000000" w:sz="6" w:space="0"/>
              <w:left w:val="single" w:color="000000" w:sz="6" w:space="0"/>
              <w:bottom w:val="single" w:color="000000" w:sz="6" w:space="0"/>
            </w:tcBorders>
            <w:noWrap w:val="0"/>
            <w:vAlign w:val="top"/>
          </w:tcPr>
          <w:p>
            <w:pPr>
              <w:pStyle w:val="11"/>
              <w:spacing w:before="134"/>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800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Pr>
                <w:sz w:val="21"/>
              </w:rPr>
            </w:pPr>
            <w:r>
              <w:rPr>
                <w:sz w:val="21"/>
              </w:rPr>
              <w:t>企业五免（免税）</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177"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10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8"/>
              <w:rPr>
                <w:rFonts w:ascii="Times New Roman"/>
                <w:sz w:val="28"/>
              </w:rPr>
            </w:pPr>
          </w:p>
          <w:p>
            <w:pPr>
              <w:pStyle w:val="11"/>
              <w:spacing w:line="242" w:lineRule="auto"/>
              <w:ind w:left="107" w:right="102"/>
              <w:rPr>
                <w:sz w:val="21"/>
              </w:rPr>
            </w:pPr>
            <w:r>
              <w:rPr>
                <w:sz w:val="21"/>
              </w:rPr>
              <w:t>400 集成电路封装、测试（含封装测试）企业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9" w:line="261"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9" w:line="261" w:lineRule="exact"/>
              <w:ind w:left="175" w:right="139"/>
              <w:jc w:val="center"/>
              <w:rPr>
                <w:sz w:val="21"/>
              </w:rPr>
            </w:pPr>
            <w:r>
              <w:rPr>
                <w:sz w:val="21"/>
              </w:rPr>
              <w:t>15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1"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1" w:lineRule="exact"/>
              <w:ind w:left="175" w:right="139"/>
              <w:jc w:val="center"/>
              <w:rPr>
                <w:sz w:val="21"/>
              </w:rPr>
            </w:pPr>
            <w:r>
              <w:rPr>
                <w:sz w:val="21"/>
              </w:rPr>
              <w:t>15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8</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8</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before="7"/>
              <w:rPr>
                <w:rFonts w:ascii="Times New Roman"/>
                <w:sz w:val="28"/>
              </w:rPr>
            </w:pPr>
          </w:p>
          <w:p>
            <w:pPr>
              <w:pStyle w:val="11"/>
              <w:spacing w:line="244" w:lineRule="auto"/>
              <w:ind w:left="107" w:right="102"/>
              <w:rPr>
                <w:sz w:val="21"/>
              </w:rPr>
            </w:pPr>
            <w:r>
              <w:rPr>
                <w:sz w:val="21"/>
              </w:rPr>
              <w:t>500 集成电路材料（含关键专用材料）企业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5" w:right="139"/>
              <w:jc w:val="center"/>
              <w:rPr>
                <w:sz w:val="21"/>
              </w:rPr>
            </w:pPr>
            <w:r>
              <w:rPr>
                <w:sz w:val="21"/>
              </w:rPr>
              <w:t>16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8" w:line="262"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8" w:line="262" w:lineRule="exact"/>
              <w:ind w:left="175" w:right="139"/>
              <w:jc w:val="center"/>
              <w:rPr>
                <w:sz w:val="21"/>
              </w:rPr>
            </w:pPr>
            <w:r>
              <w:rPr>
                <w:sz w:val="21"/>
              </w:rPr>
              <w:t>16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2"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2"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2"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7" w:line="262"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0" w:hRule="atLeast"/>
        </w:trPr>
        <w:tc>
          <w:tcPr>
            <w:tcW w:w="2977" w:type="dxa"/>
            <w:vMerge w:val="continue"/>
            <w:tcBorders>
              <w:top w:val="nil"/>
              <w:bottom w:val="single" w:color="000000" w:sz="6" w:space="0"/>
              <w:right w:val="single" w:color="000000" w:sz="6" w:space="0"/>
            </w:tcBorders>
            <w:noWrap w:val="0"/>
            <w:vAlign w:val="top"/>
          </w:tcPr>
          <w:p>
            <w:pPr>
              <w:rPr>
                <w:sz w:val="2"/>
                <w:szCs w:val="2"/>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3" w:lineRule="exact"/>
              <w:ind w:left="220" w:right="194"/>
              <w:jc w:val="center"/>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3" w:lineRule="exact"/>
              <w:ind w:left="367"/>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3" w:lineRule="exact"/>
              <w:ind w:left="114" w:right="-29"/>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before="7" w:line="263" w:lineRule="exact"/>
              <w:ind w:left="173" w:right="139"/>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tcBorders>
              <w:top w:val="single" w:color="000000" w:sz="6" w:space="0"/>
              <w:bottom w:val="single" w:color="000000" w:sz="6" w:space="0"/>
              <w:right w:val="single" w:color="000000" w:sz="6" w:space="0"/>
            </w:tcBorders>
            <w:noWrap w:val="0"/>
            <w:vAlign w:val="top"/>
          </w:tcPr>
          <w:p>
            <w:pPr>
              <w:pStyle w:val="11"/>
              <w:spacing w:before="7" w:line="260" w:lineRule="exact"/>
              <w:ind w:left="107"/>
              <w:rPr>
                <w:sz w:val="21"/>
              </w:rPr>
            </w:pPr>
            <w:r>
              <w:rPr>
                <w:sz w:val="21"/>
              </w:rPr>
              <w:t>600 集成电路装备（含专用设</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0" w:lineRule="exact"/>
              <w:ind w:left="220" w:right="194"/>
              <w:jc w:val="center"/>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0" w:lineRule="exact"/>
              <w:ind w:left="367"/>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7" w:line="260" w:lineRule="exact"/>
              <w:ind w:left="114"/>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7" w:line="260" w:lineRule="exact"/>
              <w:ind w:left="175" w:right="139"/>
              <w:jc w:val="center"/>
              <w:rPr>
                <w:sz w:val="21"/>
              </w:rPr>
            </w:pPr>
            <w:r>
              <w:rPr>
                <w:sz w:val="21"/>
              </w:rPr>
              <w:t>16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restart"/>
            <w:tcBorders>
              <w:top w:val="single" w:color="000000" w:sz="6" w:space="0"/>
              <w:bottom w:val="single" w:color="000000" w:sz="6" w:space="0"/>
              <w:right w:val="single" w:color="000000" w:sz="6" w:space="0"/>
            </w:tcBorders>
            <w:noWrap w:val="0"/>
            <w:vAlign w:val="top"/>
          </w:tcPr>
          <w:p>
            <w:pPr>
              <w:pStyle w:val="11"/>
              <w:spacing w:line="255" w:lineRule="exact"/>
              <w:ind w:left="107" w:leftChars="0"/>
              <w:rPr>
                <w:sz w:val="21"/>
              </w:rPr>
            </w:pPr>
            <w:r>
              <w:rPr>
                <w:sz w:val="21"/>
              </w:rPr>
              <w:t>备）企业</w:t>
            </w: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48" w:lineRule="exact"/>
              <w:ind w:left="114" w:leftChars="0"/>
              <w:rPr>
                <w:sz w:val="21"/>
              </w:rPr>
            </w:pPr>
            <w:r>
              <w:rPr>
                <w:sz w:val="21"/>
              </w:rPr>
              <w:t>原政策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48" w:lineRule="exact"/>
              <w:ind w:left="367" w:leftChars="0"/>
              <w:rPr>
                <w:sz w:val="21"/>
              </w:rPr>
            </w:pPr>
            <w:r>
              <w:rPr>
                <w:sz w:val="21"/>
              </w:rPr>
              <w:t>120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line="248" w:lineRule="exact"/>
              <w:ind w:left="114" w:leftChars="0" w:right="-29" w:rightChars="0"/>
              <w:rPr>
                <w:sz w:val="21"/>
              </w:rPr>
            </w:pPr>
            <w:r>
              <w:rPr>
                <w:spacing w:val="-3"/>
                <w:sz w:val="21"/>
              </w:rPr>
              <w:t>企业二免三减半</w:t>
            </w:r>
            <w:r>
              <w:rPr>
                <w:sz w:val="21"/>
              </w:rPr>
              <w:t>（减半征收）</w:t>
            </w:r>
          </w:p>
        </w:tc>
        <w:tc>
          <w:tcPr>
            <w:tcW w:w="1115" w:type="dxa"/>
            <w:tcBorders>
              <w:top w:val="single" w:color="000000" w:sz="6" w:space="0"/>
              <w:left w:val="single" w:color="000000" w:sz="6" w:space="0"/>
              <w:bottom w:val="single" w:color="000000" w:sz="6" w:space="0"/>
            </w:tcBorders>
            <w:noWrap w:val="0"/>
            <w:vAlign w:val="top"/>
          </w:tcPr>
          <w:p>
            <w:pPr>
              <w:pStyle w:val="11"/>
              <w:spacing w:line="248" w:lineRule="exact"/>
              <w:ind w:left="175" w:leftChars="0" w:right="139" w:rightChars="0"/>
              <w:jc w:val="center"/>
              <w:rPr>
                <w:sz w:val="21"/>
              </w:rPr>
            </w:pPr>
            <w:r>
              <w:rPr>
                <w:sz w:val="21"/>
              </w:rPr>
              <w:t>16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continue"/>
            <w:tcBorders>
              <w:top w:val="single" w:color="000000" w:sz="6" w:space="0"/>
              <w:bottom w:val="single" w:color="000000" w:sz="6" w:space="0"/>
              <w:right w:val="single" w:color="000000" w:sz="6" w:space="0"/>
            </w:tcBorders>
            <w:noWrap w:val="0"/>
            <w:vAlign w:val="top"/>
          </w:tcPr>
          <w:p>
            <w:pPr>
              <w:rPr>
                <w:sz w:val="21"/>
              </w:rPr>
            </w:pPr>
          </w:p>
        </w:tc>
        <w:tc>
          <w:tcPr>
            <w:tcW w:w="110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53" w:lineRule="exact"/>
              <w:ind w:left="114" w:leftChars="0"/>
              <w:rPr>
                <w:sz w:val="21"/>
              </w:rPr>
            </w:pPr>
            <w:r>
              <w:rPr>
                <w:sz w:val="21"/>
              </w:rPr>
              <w:t>新政策</w:t>
            </w:r>
          </w:p>
        </w:tc>
        <w:tc>
          <w:tcPr>
            <w:tcW w:w="1040"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53" w:lineRule="exact"/>
              <w:ind w:left="367" w:leftChars="0"/>
              <w:rPr>
                <w:sz w:val="21"/>
              </w:rPr>
            </w:pPr>
            <w:r>
              <w:rPr>
                <w:sz w:val="21"/>
              </w:rPr>
              <w:t>110</w:t>
            </w:r>
          </w:p>
        </w:tc>
        <w:tc>
          <w:tcPr>
            <w:tcW w:w="2821"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2" w:line="253" w:lineRule="exact"/>
              <w:ind w:left="114" w:leftChars="0"/>
              <w:rPr>
                <w:sz w:val="21"/>
              </w:rPr>
            </w:pPr>
            <w:r>
              <w:rPr>
                <w:sz w:val="21"/>
              </w:rPr>
              <w:t>企业二免三减半（免税）</w:t>
            </w:r>
          </w:p>
        </w:tc>
        <w:tc>
          <w:tcPr>
            <w:tcW w:w="1115" w:type="dxa"/>
            <w:tcBorders>
              <w:top w:val="single" w:color="000000" w:sz="6" w:space="0"/>
              <w:left w:val="single" w:color="000000" w:sz="6" w:space="0"/>
              <w:bottom w:val="single" w:color="000000" w:sz="6" w:space="0"/>
            </w:tcBorders>
            <w:noWrap w:val="0"/>
            <w:vAlign w:val="top"/>
          </w:tcPr>
          <w:p>
            <w:pPr>
              <w:pStyle w:val="11"/>
              <w:spacing w:before="2" w:line="253" w:lineRule="exact"/>
              <w:ind w:left="173" w:leftChars="0" w:right="139" w:rightChars="0"/>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87" w:hRule="atLeast"/>
        </w:trPr>
        <w:tc>
          <w:tcPr>
            <w:tcW w:w="2977" w:type="dxa"/>
            <w:vMerge w:val="continue"/>
            <w:tcBorders>
              <w:top w:val="single" w:color="000000" w:sz="6" w:space="0"/>
              <w:right w:val="single" w:color="000000" w:sz="6" w:space="0"/>
            </w:tcBorders>
            <w:noWrap w:val="0"/>
            <w:vAlign w:val="top"/>
          </w:tcPr>
          <w:p>
            <w:pPr>
              <w:rPr>
                <w:sz w:val="21"/>
              </w:rPr>
            </w:pPr>
          </w:p>
        </w:tc>
        <w:tc>
          <w:tcPr>
            <w:tcW w:w="1100" w:type="dxa"/>
            <w:tcBorders>
              <w:top w:val="single" w:color="000000" w:sz="6" w:space="0"/>
              <w:left w:val="single" w:color="000000" w:sz="6" w:space="0"/>
              <w:right w:val="single" w:color="000000" w:sz="6" w:space="0"/>
            </w:tcBorders>
            <w:noWrap w:val="0"/>
            <w:vAlign w:val="top"/>
          </w:tcPr>
          <w:p>
            <w:pPr>
              <w:pStyle w:val="11"/>
              <w:spacing w:before="2" w:line="260" w:lineRule="exact"/>
              <w:ind w:left="114" w:leftChars="0"/>
              <w:rPr>
                <w:sz w:val="21"/>
              </w:rPr>
            </w:pPr>
            <w:r>
              <w:rPr>
                <w:sz w:val="21"/>
              </w:rPr>
              <w:t>新政策</w:t>
            </w:r>
          </w:p>
        </w:tc>
        <w:tc>
          <w:tcPr>
            <w:tcW w:w="1040" w:type="dxa"/>
            <w:tcBorders>
              <w:top w:val="single" w:color="000000" w:sz="6" w:space="0"/>
              <w:left w:val="single" w:color="000000" w:sz="6" w:space="0"/>
              <w:right w:val="single" w:color="000000" w:sz="6" w:space="0"/>
            </w:tcBorders>
            <w:noWrap w:val="0"/>
            <w:vAlign w:val="top"/>
          </w:tcPr>
          <w:p>
            <w:pPr>
              <w:pStyle w:val="11"/>
              <w:spacing w:before="2" w:line="260" w:lineRule="exact"/>
              <w:ind w:left="367" w:leftChars="0"/>
              <w:rPr>
                <w:sz w:val="21"/>
              </w:rPr>
            </w:pPr>
            <w:r>
              <w:rPr>
                <w:sz w:val="21"/>
              </w:rPr>
              <w:t>120</w:t>
            </w:r>
          </w:p>
        </w:tc>
        <w:tc>
          <w:tcPr>
            <w:tcW w:w="2821" w:type="dxa"/>
            <w:tcBorders>
              <w:top w:val="single" w:color="000000" w:sz="6" w:space="0"/>
              <w:left w:val="single" w:color="000000" w:sz="6" w:space="0"/>
              <w:right w:val="single" w:color="000000" w:sz="6" w:space="0"/>
            </w:tcBorders>
            <w:noWrap w:val="0"/>
            <w:vAlign w:val="top"/>
          </w:tcPr>
          <w:p>
            <w:pPr>
              <w:pStyle w:val="11"/>
              <w:spacing w:before="2" w:line="260" w:lineRule="exact"/>
              <w:ind w:left="114" w:leftChars="0" w:right="-29" w:rightChars="0"/>
              <w:rPr>
                <w:sz w:val="21"/>
              </w:rPr>
            </w:pPr>
            <w:r>
              <w:rPr>
                <w:spacing w:val="-3"/>
                <w:sz w:val="21"/>
              </w:rPr>
              <w:t>企业二免三减半</w:t>
            </w:r>
            <w:r>
              <w:rPr>
                <w:sz w:val="21"/>
              </w:rPr>
              <w:t>（减半征收）</w:t>
            </w:r>
          </w:p>
        </w:tc>
        <w:tc>
          <w:tcPr>
            <w:tcW w:w="1115" w:type="dxa"/>
            <w:tcBorders>
              <w:top w:val="single" w:color="000000" w:sz="6" w:space="0"/>
              <w:left w:val="single" w:color="000000" w:sz="6" w:space="0"/>
            </w:tcBorders>
            <w:noWrap w:val="0"/>
            <w:vAlign w:val="top"/>
          </w:tcPr>
          <w:p>
            <w:pPr>
              <w:pStyle w:val="11"/>
              <w:spacing w:before="2" w:line="260" w:lineRule="exact"/>
              <w:ind w:left="173" w:leftChars="0" w:right="139" w:rightChars="0"/>
              <w:jc w:val="center"/>
              <w:rPr>
                <w:sz w:val="21"/>
              </w:rPr>
            </w:pPr>
            <w:r>
              <w:rPr>
                <w:sz w:val="21"/>
              </w:rPr>
              <w:t>28</w:t>
            </w:r>
            <w:r>
              <w:rPr>
                <w:rFonts w:hint="eastAsia"/>
                <w:sz w:val="21"/>
                <w:lang w:eastAsia="zh-CN"/>
              </w:rPr>
              <w:t>、</w:t>
            </w:r>
            <w:r>
              <w:rPr>
                <w:sz w:val="21"/>
              </w:rPr>
              <w:t>4</w:t>
            </w:r>
            <w:r>
              <w:rPr>
                <w:rFonts w:hint="eastAsia"/>
                <w:sz w:val="21"/>
                <w:lang w:eastAsia="zh-CN"/>
              </w:rPr>
              <w:t>、</w:t>
            </w:r>
            <w:r>
              <w:rPr>
                <w:sz w:val="21"/>
              </w:rPr>
              <w:t>6</w:t>
            </w:r>
          </w:p>
        </w:tc>
      </w:tr>
    </w:tbl>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微软雅黑" w:hAnsi="微软雅黑" w:eastAsia="微软雅黑" w:cs="微软雅黑"/>
          <w:b/>
          <w:bCs/>
          <w:lang w:eastAsia="zh-CN"/>
        </w:rPr>
      </w:pP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微软雅黑" w:hAnsi="微软雅黑" w:eastAsia="微软雅黑" w:cs="微软雅黑"/>
          <w:b/>
          <w:bCs/>
          <w:lang w:eastAsia="zh-CN"/>
        </w:rPr>
      </w:pP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微软雅黑" w:hAnsi="微软雅黑" w:eastAsia="微软雅黑" w:cs="微软雅黑"/>
          <w:b/>
          <w:bCs/>
          <w:lang w:eastAsia="zh-CN"/>
        </w:rPr>
      </w:pP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微软雅黑" w:hAnsi="微软雅黑" w:eastAsia="微软雅黑" w:cs="微软雅黑"/>
          <w:b/>
          <w:bCs/>
          <w:lang w:eastAsia="zh-CN"/>
        </w:rPr>
      </w:pPr>
    </w:p>
    <w:p>
      <w:pPr>
        <w:pStyle w:val="3"/>
        <w:bidi w:val="0"/>
        <w:rPr>
          <w:rFonts w:hint="eastAsia"/>
          <w:lang w:eastAsia="zh-CN"/>
        </w:rPr>
      </w:pPr>
      <w:r>
        <w:rPr>
          <w:rFonts w:hint="eastAsia"/>
          <w:lang w:eastAsia="zh-CN"/>
        </w:rPr>
        <w:t>A107050</w:t>
      </w:r>
      <w:r>
        <w:rPr>
          <w:rFonts w:hint="eastAsia"/>
          <w:lang w:eastAsia="zh-CN"/>
        </w:rPr>
        <w:tab/>
      </w:r>
      <w:r>
        <w:rPr>
          <w:rFonts w:hint="eastAsia"/>
          <w:lang w:eastAsia="zh-CN"/>
        </w:rPr>
        <w:t>税额抵免优惠明细表</w:t>
      </w:r>
    </w:p>
    <w:tbl>
      <w:tblPr>
        <w:tblStyle w:val="8"/>
        <w:tblW w:w="109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1"/>
        <w:gridCol w:w="801"/>
        <w:gridCol w:w="801"/>
        <w:gridCol w:w="801"/>
        <w:gridCol w:w="801"/>
        <w:gridCol w:w="965"/>
        <w:gridCol w:w="462"/>
        <w:gridCol w:w="745"/>
        <w:gridCol w:w="746"/>
        <w:gridCol w:w="745"/>
        <w:gridCol w:w="85"/>
        <w:gridCol w:w="661"/>
        <w:gridCol w:w="940"/>
        <w:gridCol w:w="891"/>
        <w:gridCol w:w="101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46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80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项目</w:t>
            </w:r>
          </w:p>
        </w:tc>
        <w:tc>
          <w:tcPr>
            <w:tcW w:w="80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年度</w:t>
            </w:r>
          </w:p>
        </w:tc>
        <w:tc>
          <w:tcPr>
            <w:tcW w:w="80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本年抵免前应纳税额</w:t>
            </w:r>
          </w:p>
        </w:tc>
        <w:tc>
          <w:tcPr>
            <w:tcW w:w="80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本年允许抵免的专用设备投资额</w:t>
            </w:r>
          </w:p>
        </w:tc>
        <w:tc>
          <w:tcPr>
            <w:tcW w:w="965"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本年可抵免税额</w:t>
            </w:r>
          </w:p>
        </w:tc>
        <w:tc>
          <w:tcPr>
            <w:tcW w:w="4384" w:type="dxa"/>
            <w:gridSpan w:val="7"/>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以前年度已抵免额</w:t>
            </w:r>
          </w:p>
        </w:tc>
        <w:tc>
          <w:tcPr>
            <w:tcW w:w="89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本年实际抵免的各年度税额</w:t>
            </w:r>
          </w:p>
        </w:tc>
        <w:tc>
          <w:tcPr>
            <w:tcW w:w="1014"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可结转以后年度抵免的税额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0" w:hRule="atLeast"/>
          <w:jc w:val="center"/>
        </w:trPr>
        <w:tc>
          <w:tcPr>
            <w:tcW w:w="461" w:type="dxa"/>
            <w:vMerge w:val="continue"/>
            <w:noWrap w:val="0"/>
            <w:vAlign w:val="center"/>
          </w:tcPr>
          <w:p>
            <w:pPr>
              <w:widowControl/>
              <w:jc w:val="left"/>
              <w:rPr>
                <w:rFonts w:ascii="宋体" w:hAnsi="宋体" w:cs="宋体"/>
                <w:kern w:val="0"/>
                <w:sz w:val="20"/>
                <w:szCs w:val="20"/>
              </w:rPr>
            </w:pPr>
          </w:p>
        </w:tc>
        <w:tc>
          <w:tcPr>
            <w:tcW w:w="801" w:type="dxa"/>
            <w:vMerge w:val="continue"/>
            <w:noWrap w:val="0"/>
            <w:vAlign w:val="center"/>
          </w:tcPr>
          <w:p>
            <w:pPr>
              <w:widowControl/>
              <w:jc w:val="left"/>
              <w:rPr>
                <w:rFonts w:ascii="宋体" w:hAnsi="宋体" w:cs="宋体"/>
                <w:kern w:val="0"/>
                <w:sz w:val="20"/>
                <w:szCs w:val="20"/>
              </w:rPr>
            </w:pPr>
          </w:p>
        </w:tc>
        <w:tc>
          <w:tcPr>
            <w:tcW w:w="801" w:type="dxa"/>
            <w:vMerge w:val="continue"/>
            <w:noWrap w:val="0"/>
            <w:vAlign w:val="center"/>
          </w:tcPr>
          <w:p>
            <w:pPr>
              <w:widowControl/>
              <w:jc w:val="left"/>
              <w:rPr>
                <w:rFonts w:ascii="宋体" w:hAnsi="宋体" w:cs="宋体"/>
                <w:kern w:val="0"/>
                <w:sz w:val="20"/>
                <w:szCs w:val="20"/>
              </w:rPr>
            </w:pPr>
          </w:p>
        </w:tc>
        <w:tc>
          <w:tcPr>
            <w:tcW w:w="801" w:type="dxa"/>
            <w:vMerge w:val="continue"/>
            <w:noWrap w:val="0"/>
            <w:vAlign w:val="center"/>
          </w:tcPr>
          <w:p>
            <w:pPr>
              <w:widowControl/>
              <w:jc w:val="left"/>
              <w:rPr>
                <w:rFonts w:ascii="宋体" w:hAnsi="宋体" w:cs="宋体"/>
                <w:kern w:val="0"/>
                <w:sz w:val="20"/>
                <w:szCs w:val="20"/>
              </w:rPr>
            </w:pPr>
          </w:p>
        </w:tc>
        <w:tc>
          <w:tcPr>
            <w:tcW w:w="801" w:type="dxa"/>
            <w:vMerge w:val="continue"/>
            <w:noWrap w:val="0"/>
            <w:vAlign w:val="center"/>
          </w:tcPr>
          <w:p>
            <w:pPr>
              <w:widowControl/>
              <w:jc w:val="left"/>
              <w:rPr>
                <w:rFonts w:ascii="宋体" w:hAnsi="宋体" w:cs="宋体"/>
                <w:kern w:val="0"/>
                <w:sz w:val="20"/>
                <w:szCs w:val="20"/>
              </w:rPr>
            </w:pPr>
          </w:p>
        </w:tc>
        <w:tc>
          <w:tcPr>
            <w:tcW w:w="965" w:type="dxa"/>
            <w:vMerge w:val="continue"/>
            <w:noWrap w:val="0"/>
            <w:vAlign w:val="center"/>
          </w:tcPr>
          <w:p>
            <w:pPr>
              <w:widowControl/>
              <w:jc w:val="left"/>
              <w:rPr>
                <w:rFonts w:ascii="宋体" w:hAnsi="宋体" w:cs="宋体"/>
                <w:kern w:val="0"/>
                <w:sz w:val="20"/>
                <w:szCs w:val="20"/>
              </w:rPr>
            </w:pP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前五年度</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前四年度</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前三年度</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前二年度</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前一年度</w:t>
            </w:r>
          </w:p>
        </w:tc>
        <w:tc>
          <w:tcPr>
            <w:tcW w:w="9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小计</w:t>
            </w:r>
          </w:p>
        </w:tc>
        <w:tc>
          <w:tcPr>
            <w:tcW w:w="891" w:type="dxa"/>
            <w:noWrap w:val="0"/>
            <w:vAlign w:val="center"/>
          </w:tcPr>
          <w:p>
            <w:pPr>
              <w:widowControl/>
              <w:jc w:val="left"/>
              <w:rPr>
                <w:rFonts w:ascii="宋体" w:hAnsi="宋体" w:cs="宋体"/>
                <w:kern w:val="0"/>
                <w:sz w:val="20"/>
                <w:szCs w:val="20"/>
              </w:rPr>
            </w:pPr>
          </w:p>
        </w:tc>
        <w:tc>
          <w:tcPr>
            <w:tcW w:w="1014" w:type="dxa"/>
            <w:noWrap w:val="0"/>
            <w:vAlign w:val="center"/>
          </w:tcPr>
          <w:p>
            <w:pPr>
              <w:widowControl/>
              <w:jc w:val="left"/>
              <w:rPr>
                <w:rFonts w:ascii="宋体" w:hAnsi="宋体" w:cs="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0" w:hRule="atLeast"/>
          <w:jc w:val="center"/>
        </w:trPr>
        <w:tc>
          <w:tcPr>
            <w:tcW w:w="461" w:type="dxa"/>
            <w:vMerge w:val="continue"/>
            <w:noWrap w:val="0"/>
            <w:vAlign w:val="center"/>
          </w:tcPr>
          <w:p>
            <w:pPr>
              <w:widowControl/>
              <w:jc w:val="left"/>
              <w:rPr>
                <w:rFonts w:ascii="宋体" w:hAnsi="宋体" w:cs="宋体"/>
                <w:kern w:val="0"/>
                <w:sz w:val="20"/>
                <w:szCs w:val="20"/>
              </w:rPr>
            </w:pPr>
          </w:p>
        </w:tc>
        <w:tc>
          <w:tcPr>
            <w:tcW w:w="801" w:type="dxa"/>
            <w:vMerge w:val="continue"/>
            <w:noWrap w:val="0"/>
            <w:vAlign w:val="center"/>
          </w:tcPr>
          <w:p>
            <w:pPr>
              <w:widowControl/>
              <w:jc w:val="left"/>
              <w:rPr>
                <w:rFonts w:ascii="宋体" w:hAnsi="宋体" w:cs="宋体"/>
                <w:kern w:val="0"/>
                <w:sz w:val="20"/>
                <w:szCs w:val="20"/>
              </w:rPr>
            </w:pP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96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4（3×10%）</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9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10（5+…+9）</w:t>
            </w:r>
          </w:p>
        </w:tc>
        <w:tc>
          <w:tcPr>
            <w:tcW w:w="89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1014"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12（4-10-11）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前五年度</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5"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94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前四年度</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5"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94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前三年度</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5"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94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前二年度</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5"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94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前一年度</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5"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940"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9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本年度</w:t>
            </w:r>
          </w:p>
        </w:tc>
        <w:tc>
          <w:tcPr>
            <w:tcW w:w="80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0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965"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62"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6"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5"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746" w:type="dxa"/>
            <w:gridSpan w:val="2"/>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9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c>
          <w:tcPr>
            <w:tcW w:w="891"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8553" w:type="dxa"/>
            <w:gridSpan w:val="12"/>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本年实际抵免税额合计</w:t>
            </w:r>
          </w:p>
        </w:tc>
        <w:tc>
          <w:tcPr>
            <w:tcW w:w="89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1014"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9444" w:type="dxa"/>
            <w:gridSpan w:val="13"/>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可结转以后年度抵免的税额合计</w:t>
            </w:r>
          </w:p>
        </w:tc>
        <w:tc>
          <w:tcPr>
            <w:tcW w:w="1014" w:type="dxa"/>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80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专用设备</w:t>
            </w:r>
            <w:r>
              <w:rPr>
                <w:rFonts w:hint="eastAsia" w:ascii="宋体" w:hAnsi="宋体" w:cs="宋体"/>
                <w:kern w:val="0"/>
                <w:sz w:val="20"/>
                <w:szCs w:val="20"/>
              </w:rPr>
              <w:br w:type="textWrapping"/>
            </w:r>
            <w:r>
              <w:rPr>
                <w:rFonts w:hint="eastAsia" w:ascii="宋体" w:hAnsi="宋体" w:cs="宋体"/>
                <w:kern w:val="0"/>
                <w:sz w:val="20"/>
                <w:szCs w:val="20"/>
              </w:rPr>
              <w:t>投资情况</w:t>
            </w:r>
          </w:p>
        </w:tc>
        <w:tc>
          <w:tcPr>
            <w:tcW w:w="6151" w:type="dxa"/>
            <w:gridSpan w:val="9"/>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本年允许抵免的环境保护专用设备投资额</w:t>
            </w:r>
          </w:p>
        </w:tc>
        <w:tc>
          <w:tcPr>
            <w:tcW w:w="3506" w:type="dxa"/>
            <w:gridSpan w:val="4"/>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801" w:type="dxa"/>
            <w:vMerge w:val="continue"/>
            <w:noWrap w:val="0"/>
            <w:vAlign w:val="center"/>
          </w:tcPr>
          <w:p>
            <w:pPr>
              <w:widowControl/>
              <w:jc w:val="left"/>
              <w:rPr>
                <w:rFonts w:ascii="宋体" w:hAnsi="宋体" w:cs="宋体"/>
                <w:kern w:val="0"/>
                <w:sz w:val="20"/>
                <w:szCs w:val="20"/>
              </w:rPr>
            </w:pPr>
          </w:p>
        </w:tc>
        <w:tc>
          <w:tcPr>
            <w:tcW w:w="6151" w:type="dxa"/>
            <w:gridSpan w:val="9"/>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本年允许抵免节能节水的专用设备投资额</w:t>
            </w:r>
          </w:p>
        </w:tc>
        <w:tc>
          <w:tcPr>
            <w:tcW w:w="3506" w:type="dxa"/>
            <w:gridSpan w:val="4"/>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46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801" w:type="dxa"/>
            <w:vMerge w:val="continue"/>
            <w:noWrap w:val="0"/>
            <w:vAlign w:val="center"/>
          </w:tcPr>
          <w:p>
            <w:pPr>
              <w:widowControl/>
              <w:jc w:val="left"/>
              <w:rPr>
                <w:rFonts w:ascii="宋体" w:hAnsi="宋体" w:cs="宋体"/>
                <w:kern w:val="0"/>
                <w:sz w:val="20"/>
                <w:szCs w:val="20"/>
              </w:rPr>
            </w:pPr>
          </w:p>
        </w:tc>
        <w:tc>
          <w:tcPr>
            <w:tcW w:w="6151" w:type="dxa"/>
            <w:gridSpan w:val="9"/>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本年允许抵免的安全生产专用设备投资额</w:t>
            </w:r>
          </w:p>
        </w:tc>
        <w:tc>
          <w:tcPr>
            <w:tcW w:w="3506" w:type="dxa"/>
            <w:gridSpan w:val="4"/>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bl>
    <w:p>
      <w:pPr>
        <w:pStyle w:val="4"/>
        <w:bidi w:val="0"/>
        <w:rPr>
          <w:rFonts w:hint="eastAsia"/>
          <w:lang w:eastAsia="zh-CN"/>
        </w:rPr>
      </w:pPr>
      <w:r>
        <w:rPr>
          <w:rFonts w:hint="eastAsia"/>
          <w:lang w:eastAsia="zh-CN"/>
        </w:rPr>
        <w:t>A107050</w:t>
      </w:r>
      <w:r>
        <w:rPr>
          <w:rFonts w:hint="eastAsia"/>
          <w:lang w:eastAsia="zh-CN"/>
        </w:rPr>
        <w:tab/>
      </w:r>
      <w:r>
        <w:rPr>
          <w:rFonts w:hint="eastAsia"/>
          <w:lang w:eastAsia="zh-CN"/>
        </w:rPr>
        <w:t>《税额抵免优惠明细表》填报说明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本表适用于享受专用设备投资额抵免优惠（含结转）的纳税人填报。纳税人根据税法、《财政部　国家税务总局关于执行环境保护专用设备企业所得税优惠目录、节能节水专用设备企业所得税优惠目录和安全生产专用设备企业所得税优惠目录有关问题的通知》（财税〔2008〕48号）、《财政部　国家税务总局　国家发展改革委关于公布节能节水专用设备企业所得税优惠目录（2008年版）和环境保护专用设备企业所得税优惠目录（2008年版）的通知》（财税〔2008〕115号）、《财政部　国家税务总局　安全监管总局关于公布〈安全生产专用设备企业所得税优惠目录（2008年版）〉的通知》（财税〔2008〕118号）、《财政部　国家税务总局关于执行企业所得税优惠政策若干问题的通知》（财税〔2009〕69号）、《国家税务总局关于环境保护、节能节水、安全生产等专用设备投资抵免企业所得税有关问题的通知》（国税函〔2010〕256号）、《财政部 税务总局 国家发展改革委 工业和信息化部 环境保护部关于印发节能节水和环境保护专用设备企业所得税优惠目录（2017年版）的通知》（财税〔2017〕71号）等相关税收政策规定，填报本年发生的专用设备投资额抵免优惠（含结转）情况。</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一、有关项目填报说明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1、第1列“年度”：填报公历年份。第6行为本年，第5行至第1行依次填报。</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2、第2列“本年抵免前应纳税额”：填报纳税人《中华人民共和国企业所得税年度纳税申报表（A类）》（表A100000）第25行“应纳所得税额”减第26行“减免所得税额”后的额。2012和2013年度的“当年抵免前应纳税额”：填报《企业所得税年度纳税申报表（A类）》（2008年版）第27行“应纳所得税额”减第28行“减免所得税额”后的余额。2014、2015和2016年度的“当年抵免前应纳税额”：填报纳税人《中华人民共和国企业所得税年度纳税申报表（A类）》（2014年版）第25行“应纳所得税额”减第26行“减免所得税额”后的余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3、第3列“本年允许抵免的专用设备投资额”：填报纳税人本年购置并实际使用《环境保护专用设备企业所得税优惠目录》《节能节水专用设备企业所得税优惠目录》和《安全生产专用设备企业所得税优惠目录》规定的环境保护、节能节水、安全生产等专用设备的发票价税合计金额，但不包括允许抵扣的增值税进项税额、按有关规定退还的增值税税款以及设备运输、安装和调试等费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4第4列“本年可抵免税额”：填报第3列×10%的金额。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5、第5列至第9列“以前年度已抵免额”：填报纳税人以前年度已抵免税额，其中前五年度、前四年度、前三年度、前二年度、前一年度与“项目”列中的前五年度、前四年度、前三年度、前二年度、前一年度相对应。</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6、第10列“以前年度已抵免额—小计”：填报第5+6+7+8+9列的合计金额。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7、第11列“本年实际抵免的各年度税额”：第1行至第6行填报纳税人用于依次抵免前5个年度及本年尚未抵免的税额，第11列小于等于第4-10列，且第11列第1行至第6行合计金额不得大于第6行第2列的金额。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8、第12列“可结转以后年度抵免的税额”：填报第4-10-11列的余额。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9、第7行第11列“本年实际抵免税额合计”：填报第11列第1+2+…+6行的合计金额。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10、第8行第12列“可结转以后年度抵免的税额合计”：填报第12列第2+3+…+6行的合计金额。</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11、第9行“本年允许抵免的环境保护专用设备投资额”：填报纳税人本年购置并实际使用《环境保护专用设备企业所得税优惠目录》规定的环境保护专用设备的发票价税合计价格，但不包括允许抵扣的增值税进项税额、按有关规定退还的增值税税款以及设备运输、安装和调试等费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12、第10行“本年允许抵免节能节水的专用设备投资额”：填报纳税人本年购置并实际使用《节能节水专用设备企业所得税优惠目录》规定的节能节水等专用设备的发票价税合计价格，但不包括允许抵扣的增值税进项税额、按有关规定退还的增值税税款以及设备运输、安装和调试等费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13、第11行“本年允许抵免的安全生产专用设备投资额”：填报纳税人本年购置并实际使用《安全生产专用设备企业所得税优惠目录》规定的安全生产等专用设备的发票价税合计价格，但不包括允许抵扣的增值税进项税额、按有关规定退还的增值税税款以及设备运输、安装和调试等费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二、表内、表间关系</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（一）表内关系</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1、第4列＝第3列×10%。</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2、第10列＝第5+6+…+9列。</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3、第11列≤第4-10列。</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4、第12列＝第4-10-11列。</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5、第6行第3列＝第9+10+11行。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6、第7行第11列＝第11列第1+2+…+6行。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7、第8行第12列＝第12列第2+3+…+6行。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（二）表间关系</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1、第7行第11列≤表A100000第25-26行。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2、第7行第11列＝表A100000第27行。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3、第2列＝表A100000第25行-表A100000第26行。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2012和2013年度：第2列＝《中华人民共和国企业所得税年度纳税申报表（A类）》（2008年版）第27-28行。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r>
        <w:rPr>
          <w:rFonts w:hint="eastAsia" w:ascii="微软雅黑" w:hAnsi="微软雅黑" w:eastAsia="微软雅黑" w:cs="微软雅黑"/>
          <w:b w:val="0"/>
          <w:bCs w:val="0"/>
          <w:lang w:eastAsia="zh-CN"/>
        </w:rPr>
        <w:t>2014、2015和2016年度：第2列＝《中华人民共和国企业所得税年度纳税申报表（A类）》（2014年版）第25-26行。</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pStyle w:val="3"/>
        <w:bidi w:val="0"/>
        <w:rPr>
          <w:rFonts w:hint="eastAsia"/>
          <w:lang w:eastAsia="zh-CN"/>
        </w:rPr>
      </w:pPr>
      <w:r>
        <w:rPr>
          <w:rFonts w:hint="eastAsia"/>
          <w:lang w:eastAsia="zh-CN"/>
        </w:rPr>
        <w:t>A108000  境外所得税收抵免明细表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tbl>
      <w:tblPr>
        <w:tblStyle w:val="8"/>
        <w:tblW w:w="4996" w:type="pct"/>
        <w:tblInd w:w="0" w:type="dxa"/>
        <w:shd w:val="clear" w:color="auto" w:fill="auto"/>
        <w:tblLayout w:type="autofit"/>
        <w:tblCellMar>
          <w:top w:w="0" w:type="dxa"/>
          <w:left w:w="0" w:type="dxa"/>
          <w:bottom w:w="0" w:type="dxa"/>
          <w:right w:w="0" w:type="dxa"/>
        </w:tblCellMar>
      </w:tblPr>
      <w:tblGrid>
        <w:gridCol w:w="421"/>
        <w:gridCol w:w="1000"/>
        <w:gridCol w:w="421"/>
        <w:gridCol w:w="475"/>
        <w:gridCol w:w="509"/>
        <w:gridCol w:w="530"/>
        <w:gridCol w:w="421"/>
        <w:gridCol w:w="530"/>
        <w:gridCol w:w="404"/>
        <w:gridCol w:w="630"/>
        <w:gridCol w:w="421"/>
        <w:gridCol w:w="421"/>
        <w:gridCol w:w="509"/>
        <w:gridCol w:w="730"/>
        <w:gridCol w:w="497"/>
        <w:gridCol w:w="530"/>
        <w:gridCol w:w="530"/>
        <w:gridCol w:w="411"/>
        <w:gridCol w:w="630"/>
        <w:gridCol w:w="1231"/>
      </w:tblGrid>
      <w:tr>
        <w:tblPrEx>
          <w:shd w:val="clear" w:color="auto" w:fill="auto"/>
          <w:tblCellMar>
            <w:top w:w="0" w:type="dxa"/>
            <w:left w:w="0" w:type="dxa"/>
            <w:bottom w:w="0" w:type="dxa"/>
            <w:right w:w="0" w:type="dxa"/>
          </w:tblCellMar>
        </w:tblPrEx>
        <w:trPr>
          <w:trHeight w:val="300" w:hRule="atLeast"/>
        </w:trPr>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国家</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境外税前所得</w:t>
            </w:r>
          </w:p>
        </w:tc>
        <w:tc>
          <w:tcPr>
            <w:tcW w:w="228"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境外所得纳税调整后所得</w:t>
            </w:r>
          </w:p>
        </w:tc>
        <w:tc>
          <w:tcPr>
            <w:tcW w:w="243"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弥补境外以前年度亏损</w:t>
            </w:r>
          </w:p>
        </w:tc>
        <w:tc>
          <w:tcPr>
            <w:tcW w:w="212"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境外应纳税所得额</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抵减境内亏损</w:t>
            </w:r>
          </w:p>
        </w:tc>
        <w:tc>
          <w:tcPr>
            <w:tcW w:w="245"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抵减境内亏损后的境外应纳税所得额</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税率</w:t>
            </w:r>
          </w:p>
        </w:tc>
        <w:tc>
          <w:tcPr>
            <w:tcW w:w="252"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境外所得应纳税额</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境外所得可抵免税额</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境外所得抵免限额</w:t>
            </w:r>
          </w:p>
        </w:tc>
        <w:tc>
          <w:tcPr>
            <w:tcW w:w="243"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本年可抵免境外所得税额</w:t>
            </w:r>
          </w:p>
        </w:tc>
        <w:tc>
          <w:tcPr>
            <w:tcW w:w="293"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未超过境外所得税抵免限额的余额</w:t>
            </w:r>
          </w:p>
        </w:tc>
        <w:tc>
          <w:tcPr>
            <w:tcW w:w="238"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本年可抵免以前年度未抵免境外所得税额</w:t>
            </w:r>
          </w:p>
        </w:tc>
        <w:tc>
          <w:tcPr>
            <w:tcW w:w="933" w:type="pct"/>
            <w:gridSpan w:val="4"/>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按简易办法计算</w:t>
            </w:r>
          </w:p>
        </w:tc>
        <w:tc>
          <w:tcPr>
            <w:tcW w:w="419"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境外所得抵免所得税额合计</w:t>
            </w:r>
          </w:p>
        </w:tc>
      </w:tr>
      <w:tr>
        <w:tblPrEx>
          <w:shd w:val="clear" w:color="auto" w:fill="auto"/>
          <w:tblCellMar>
            <w:top w:w="0" w:type="dxa"/>
            <w:left w:w="0" w:type="dxa"/>
            <w:bottom w:w="0" w:type="dxa"/>
            <w:right w:w="0" w:type="dxa"/>
          </w:tblCellMar>
        </w:tblPrEx>
        <w:trPr>
          <w:trHeight w:val="1455" w:hRule="atLeast"/>
        </w:trPr>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（地区）</w:t>
            </w: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28"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3"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12"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5"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52"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3"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93"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38"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按低于12.5%的实际税率计算的抵免额</w:t>
            </w: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按12.5%计算的抵免额</w:t>
            </w: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按25%计算的抵免额</w:t>
            </w: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419"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61"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228"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243"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04"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243"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238"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245"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212"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207"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18(15+</w:t>
            </w:r>
          </w:p>
        </w:tc>
        <w:tc>
          <w:tcPr>
            <w:tcW w:w="419"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19(12+14+18)</w:t>
            </w:r>
          </w:p>
        </w:tc>
      </w:tr>
      <w:tr>
        <w:tblPrEx>
          <w:shd w:val="clear" w:color="auto" w:fill="auto"/>
          <w:tblCellMar>
            <w:top w:w="0" w:type="dxa"/>
            <w:left w:w="0" w:type="dxa"/>
            <w:bottom w:w="0" w:type="dxa"/>
            <w:right w:w="0" w:type="dxa"/>
          </w:tblCellMar>
        </w:tblPrEx>
        <w:trPr>
          <w:trHeight w:val="300" w:hRule="atLeast"/>
        </w:trPr>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461"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28"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3"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(7×8)</w:t>
            </w: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3"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(11-12)</w:t>
            </w:r>
          </w:p>
        </w:tc>
        <w:tc>
          <w:tcPr>
            <w:tcW w:w="238"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45"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12"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7"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16+17)</w:t>
            </w:r>
          </w:p>
        </w:tc>
        <w:tc>
          <w:tcPr>
            <w:tcW w:w="419"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30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51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63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r>
        <w:tblPrEx>
          <w:shd w:val="clear" w:color="auto" w:fill="auto"/>
          <w:tblCellMar>
            <w:top w:w="0" w:type="dxa"/>
            <w:left w:w="0" w:type="dxa"/>
            <w:bottom w:w="0" w:type="dxa"/>
            <w:right w:w="0" w:type="dxa"/>
          </w:tblCellMar>
        </w:tblPrEx>
        <w:trPr>
          <w:trHeight w:val="750" w:hRule="atLeast"/>
        </w:trPr>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461"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2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5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4"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3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45"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1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0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267"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c>
          <w:tcPr>
            <w:tcW w:w="419"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20"/>
                <w:szCs w:val="20"/>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b w:val="0"/>
          <w:bCs w:val="0"/>
          <w:lang w:eastAsia="zh-CN"/>
        </w:rPr>
      </w:pPr>
    </w:p>
    <w:p>
      <w:pPr>
        <w:pStyle w:val="4"/>
        <w:bidi w:val="0"/>
        <w:rPr>
          <w:rFonts w:hint="eastAsia"/>
          <w:lang w:eastAsia="zh-CN"/>
        </w:rPr>
      </w:pPr>
      <w:r>
        <w:rPr>
          <w:rFonts w:hint="eastAsia"/>
          <w:lang w:eastAsia="zh-CN"/>
        </w:rPr>
        <w:t>A108000 《境外所得税收抵免明细表》填报说明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本表适用于取得境外所得的纳税人填报。纳税人应根据税法、《财政部 国家税务总局关于企业境外所得税收抵免有关问题的通知》（财税〔2009〕125 号）、《国家税务总局关于发布〈企业境外所得税收抵免操作指南〉的公告》（2010 年第 1 号）、《财政部 国家税务总局关于我国石油企业从事油（气）资源开采所得税收抵免有关问题的通知》（财税〔2011〕23 号）、《财政部 税务总局关于完善企业境外所得税收抵免政策问题的通知》（财税〔2017〕84 号）、《财政部 税务总局关于海南自由贸易港企业所得税优惠政策的通知》（财税〔2020〕31 号）等规定，填报本年来源于或发生于其他国家、地区的所得按照税收规定计算应缴纳和应抵免的企业所得税。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（一）行次填报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纳税人若选择“分国（地区）不分项”的境外所得抵免方式，应根据《境外所得纳税调整后所得明细表》（A108010）、《境外分支机构弥补亏损明细表》（A108020）、《跨年度结转抵免境外所得税明细表》（A108030）分国（地区）别逐行填报本表；纳税人若选择“不分国（地区）不分项”的境外所得抵免方式，应按照税收规定计算可抵免境外所得税税额和抵免限额，并根据表 A108010、表 A108020、表 A108030 的合计金额填报本表第 1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（二）列次填报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列“国家（地区）”：纳税人若选择“分国（地区）不分项”的境外所得抵免方式，填报纳税人境外所得来源的国家（地区）名称，来源于同一国家（地区） 的境外所得合并到一行填报；纳税人若选择“不分国（地区）不分项”的境外所得抵免方式，无需填报。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列“境外税前所得”：填报表 A108010 第 14 列-第 19 列-第 24 列的金额。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3 列“境外所得纳税调整后所得”：填报表 A108010 第 18 列-第 26 列的金额。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4 列“弥补境外以前年度亏损”：填报表 A108020 第 4+8 列的合计金额。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5 列“境外应纳税所得额”：填报第 3-4 列的余额。当第 3-4 列＜0 时，本列填报 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6 列“抵减境内亏损”：当纳税人选择用境外所得抵减弥补境内亏损时，填报纳税人境外所得按照税收规定抵减境内的亏损额（包括抵减的当年度境内亏损额和弥补的以前年度境内亏损额）；当纳税人选择不用境外所得抵减弥补境内亏损时，填报 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7 列“抵减境内亏损后的境外应纳税所得额”：填报第 5-6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8 列“税率”：填报法定税率 25%。符合《财政部 国家税务总局关于高新技术企业境外所得适用税率及税收抵免问题的通知》（财税〔2011〕47 号）第一条规定的高新技术企业填报 15%。</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9 列“境外所得应纳税额”：填报第 7×8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10 列“境外所得可抵免税额”：填报表 A108010 第 13 列-第 23 列-第 25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11 列“境外所得抵免限额”：境外所得抵免限额按以下公式计算：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抵免限额＝中国境内、境外所得依照企业所得税法和条例的规定计算的应纳税总额×来源于某国（地区）的应纳税所得额÷中国境内、境外应纳税所得总额。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 12 列“本年可抵免境外所得税额”：填报纳税人本年来源于境外的所得已缴纳所得税在本年度允许抵免的金额。按第 10 列、第 11 列孰小值填报。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 13 列“未超过境外所得税抵免限额的余额”：填报纳税人本年在抵免限额内抵免完境外所得税后有余额的，可用于抵免以前年度结转的待抵免的所得税额。按第 11-12 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 14 列“本年可抵免以前年度未抵免境外所得税额”：填报纳税人本年可抵免以前年度未抵免、结转到本年度抵免的境外所得税额，按表 A108030 第 13 列金额填报。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 15 列至第 18 列由选择简易办法计算抵免额的纳税人填报。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15 列“按低于 12、5%的实际税率计算的抵免额”：纳税人从境外取得营业利润所得以及符合境外税额间接抵免条件的股息所得，所得来源国（地区）的实际有效税率低于 12、5%的，填报按照实际有效税率计算的抵免额。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16 列“按 12、5%计算的抵免额”：纳税人从境外取得营业利润所得以及符合境外税额间接抵免条件的股息所得，除第 15 列情形外，填报按照 12、5%计算的抵免额。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17 列“按 25%计算的抵免额”：纳税人从境外取得营业利润所得以及符合境外税额间接抵免条件的股息所得，所得来源国（地区）的实际有效税率高于 25%的， 填报按照 25%计算的抵免额。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 19 列“境外所得抵免所得税额合计”：填报第 12+14+18 列金额。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5 列＝第 3-4 列，当第 3-4 列＜0 时，本列＝0。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6 列≤第 5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7 列＝第 5-6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9 列＝第 7×8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12 列＝第 10 列、第 11 列孰小值。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13 列＝第 11-12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14 列≤第 13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18 列＝第 15+16+17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19 列＝第 12+14+18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1、若选择“分国（地区）不分项”的境外所得抵免方式，第 2 列各行＝表 A108010 第 14 列相应行次-第 19 列相应行次-第 24 列相应行次；若选择“不分国（地区）不分项”的境外所得抵免方式，第 1 行第 2 列＝表 A108010 第 14 列合计-第 19 列合计-第24列合计。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2、若选择“分国（地区）不分项”的境外所得抵免方式，第 3 列各行＝表 A108010 第 18 列相应行次-第 26 列相应行次；若选择“不分国（地区）不分项”的境外所得抵免方式，第 1 行第 3 列＝表 A108010 第 18 列合计-第 26 列合计。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3、若选择“分国（地区）不分项”的境外所得抵免方式，第 4 列各行＝表 A108020 第 4 列相应行次+第 8 列相应行次；若选择“不分国（地区）不分项”的境外所得抵免方式，第 1 行第 4 列＝表 A108020 第 4 列合计+第 8 列合计。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4、若选择“分国（地区）不分项”的境外所得抵免方式，第 6 列合计≤第 5 列合计、表 A106000 第 9 列第 1 行至第 10 行合计+表 A100000 第 18 行的孰小值；若选择“不分国（地区）不分项”的境外所得抵免方式，第 1 行第 6 列≤第 1 行第 5 列、表 A106000第 9 列第 1 行至第 10 行合计+表 A100000 第 18 行的孰小值。</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9 列合计＝表 A100000 第 29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6、若选择“分国（地区）不分项”的境外所得抵免方式，第 10 列各行＝表 A108010 第 13 列相应行次-第 23 列相应行次-第 25 列相应行次；若选择“不分国（地区）不分项”的境外所得抵免方式，第 1 行第 10 列＝表 A108010 第 13 列合计-第 23 列合计-第25列合计。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7、若选择“分国（地区）不分项”的境外所得抵免方式，第 14 列各行＝表 A108030 第 13 列相应行次；若选择“不分国（地区）不分项”的境外所得抵免方式，第 1 行第14 列＝表 A108030 第 13 列合计。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19 列合计＝表 A100000 第 30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A108010</w:t>
      </w:r>
      <w:r>
        <w:rPr>
          <w:rFonts w:hint="eastAsia"/>
          <w:lang w:eastAsia="zh-CN"/>
        </w:rPr>
        <w:tab/>
      </w:r>
      <w:r>
        <w:rPr>
          <w:rFonts w:hint="eastAsia"/>
          <w:lang w:eastAsia="zh-CN"/>
        </w:rPr>
        <w:t>境外所得纳税调整后所得明细表</w:t>
      </w:r>
    </w:p>
    <w:tbl>
      <w:tblPr>
        <w:tblStyle w:val="8"/>
        <w:tblW w:w="11202"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23"/>
        <w:gridCol w:w="435"/>
        <w:gridCol w:w="380"/>
        <w:gridCol w:w="381"/>
        <w:gridCol w:w="370"/>
        <w:gridCol w:w="387"/>
        <w:gridCol w:w="408"/>
        <w:gridCol w:w="397"/>
        <w:gridCol w:w="398"/>
        <w:gridCol w:w="482"/>
        <w:gridCol w:w="354"/>
        <w:gridCol w:w="386"/>
        <w:gridCol w:w="405"/>
        <w:gridCol w:w="435"/>
        <w:gridCol w:w="395"/>
        <w:gridCol w:w="398"/>
        <w:gridCol w:w="403"/>
        <w:gridCol w:w="359"/>
        <w:gridCol w:w="376"/>
        <w:gridCol w:w="353"/>
        <w:gridCol w:w="435"/>
        <w:gridCol w:w="326"/>
        <w:gridCol w:w="544"/>
        <w:gridCol w:w="435"/>
        <w:gridCol w:w="544"/>
        <w:gridCol w:w="543"/>
        <w:gridCol w:w="45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26" w:hRule="atLeast"/>
          <w:jc w:val="center"/>
        </w:trPr>
        <w:tc>
          <w:tcPr>
            <w:tcW w:w="423" w:type="dxa"/>
            <w:vMerge w:val="restart"/>
            <w:tcBorders>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rPr>
                <w:b/>
                <w:sz w:val="18"/>
              </w:rPr>
            </w:pPr>
          </w:p>
          <w:p>
            <w:pPr>
              <w:pStyle w:val="11"/>
              <w:rPr>
                <w:b/>
                <w:sz w:val="18"/>
              </w:rPr>
            </w:pPr>
          </w:p>
          <w:p>
            <w:pPr>
              <w:pStyle w:val="11"/>
              <w:rPr>
                <w:b/>
                <w:sz w:val="18"/>
              </w:rPr>
            </w:pPr>
          </w:p>
          <w:p>
            <w:pPr>
              <w:pStyle w:val="11"/>
              <w:rPr>
                <w:b/>
                <w:sz w:val="18"/>
              </w:rPr>
            </w:pPr>
          </w:p>
          <w:p>
            <w:pPr>
              <w:pStyle w:val="11"/>
              <w:spacing w:before="10"/>
              <w:rPr>
                <w:b/>
                <w:sz w:val="23"/>
              </w:rPr>
            </w:pPr>
          </w:p>
          <w:p>
            <w:pPr>
              <w:pStyle w:val="11"/>
              <w:spacing w:line="242" w:lineRule="auto"/>
              <w:ind w:left="184" w:right="163"/>
              <w:rPr>
                <w:sz w:val="18"/>
              </w:rPr>
            </w:pPr>
            <w:r>
              <w:rPr>
                <w:sz w:val="18"/>
              </w:rPr>
              <w:t>行次</w:t>
            </w:r>
          </w:p>
        </w:tc>
        <w:tc>
          <w:tcPr>
            <w:tcW w:w="435" w:type="dxa"/>
            <w:tcBorders>
              <w:left w:val="single" w:color="000000" w:sz="6" w:space="0"/>
              <w:bottom w:val="nil"/>
              <w:right w:val="single" w:color="000000" w:sz="6" w:space="0"/>
            </w:tcBorders>
            <w:noWrap w:val="0"/>
            <w:vAlign w:val="top"/>
          </w:tcPr>
          <w:p>
            <w:pPr>
              <w:pStyle w:val="11"/>
              <w:rPr>
                <w:rFonts w:ascii="Times New Roman"/>
                <w:sz w:val="16"/>
              </w:rPr>
            </w:pPr>
          </w:p>
        </w:tc>
        <w:tc>
          <w:tcPr>
            <w:tcW w:w="3203" w:type="dxa"/>
            <w:gridSpan w:val="8"/>
            <w:vMerge w:val="restart"/>
            <w:tcBorders>
              <w:left w:val="single" w:color="000000" w:sz="6" w:space="0"/>
              <w:bottom w:val="single" w:color="000000" w:sz="6" w:space="0"/>
              <w:right w:val="single" w:color="000000" w:sz="6" w:space="0"/>
            </w:tcBorders>
            <w:noWrap w:val="0"/>
            <w:vAlign w:val="top"/>
          </w:tcPr>
          <w:p>
            <w:pPr>
              <w:pStyle w:val="11"/>
              <w:spacing w:before="119"/>
              <w:ind w:left="1535" w:right="1507"/>
              <w:jc w:val="center"/>
              <w:rPr>
                <w:sz w:val="18"/>
              </w:rPr>
            </w:pPr>
            <w:r>
              <w:rPr>
                <w:sz w:val="18"/>
              </w:rPr>
              <w:t>境外税后所得</w:t>
            </w:r>
          </w:p>
        </w:tc>
        <w:tc>
          <w:tcPr>
            <w:tcW w:w="1580" w:type="dxa"/>
            <w:gridSpan w:val="4"/>
            <w:tcBorders>
              <w:left w:val="single" w:color="000000" w:sz="6" w:space="0"/>
              <w:bottom w:val="nil"/>
              <w:right w:val="single" w:color="000000" w:sz="6" w:space="0"/>
            </w:tcBorders>
            <w:noWrap w:val="0"/>
            <w:vAlign w:val="top"/>
          </w:tcPr>
          <w:p>
            <w:pPr>
              <w:pStyle w:val="11"/>
              <w:spacing w:before="1" w:line="204" w:lineRule="exact"/>
              <w:ind w:left="47"/>
              <w:rPr>
                <w:sz w:val="18"/>
              </w:rPr>
            </w:pPr>
            <w:r>
              <w:rPr>
                <w:sz w:val="18"/>
              </w:rPr>
              <w:t>境外所得可抵免的所得税</w:t>
            </w:r>
          </w:p>
        </w:tc>
        <w:tc>
          <w:tcPr>
            <w:tcW w:w="395" w:type="dxa"/>
            <w:tcBorders>
              <w:left w:val="single" w:color="000000" w:sz="6" w:space="0"/>
              <w:bottom w:val="nil"/>
              <w:right w:val="single" w:color="000000" w:sz="6" w:space="0"/>
            </w:tcBorders>
            <w:noWrap w:val="0"/>
            <w:vAlign w:val="top"/>
          </w:tcPr>
          <w:p>
            <w:pPr>
              <w:pStyle w:val="11"/>
              <w:rPr>
                <w:rFonts w:ascii="Times New Roman"/>
                <w:sz w:val="16"/>
              </w:rPr>
            </w:pPr>
          </w:p>
        </w:tc>
        <w:tc>
          <w:tcPr>
            <w:tcW w:w="398" w:type="dxa"/>
            <w:tcBorders>
              <w:left w:val="single" w:color="000000" w:sz="6" w:space="0"/>
              <w:bottom w:val="nil"/>
              <w:right w:val="single" w:color="000000" w:sz="6" w:space="0"/>
            </w:tcBorders>
            <w:noWrap w:val="0"/>
            <w:vAlign w:val="top"/>
          </w:tcPr>
          <w:p>
            <w:pPr>
              <w:pStyle w:val="11"/>
              <w:rPr>
                <w:rFonts w:ascii="Times New Roman"/>
                <w:sz w:val="16"/>
              </w:rPr>
            </w:pPr>
          </w:p>
        </w:tc>
        <w:tc>
          <w:tcPr>
            <w:tcW w:w="403" w:type="dxa"/>
            <w:vMerge w:val="restart"/>
            <w:tcBorders>
              <w:left w:val="single" w:color="000000" w:sz="6" w:space="0"/>
              <w:bottom w:val="single" w:color="000000" w:sz="6" w:space="0"/>
              <w:right w:val="single" w:color="000000" w:sz="6" w:space="0"/>
            </w:tcBorders>
            <w:noWrap w:val="0"/>
            <w:vAlign w:val="top"/>
          </w:tcPr>
          <w:p>
            <w:pPr>
              <w:pStyle w:val="11"/>
              <w:rPr>
                <w:b/>
                <w:sz w:val="18"/>
              </w:rPr>
            </w:pPr>
          </w:p>
          <w:p>
            <w:pPr>
              <w:pStyle w:val="11"/>
              <w:spacing w:before="11"/>
              <w:rPr>
                <w:b/>
                <w:sz w:val="12"/>
              </w:rPr>
            </w:pPr>
          </w:p>
          <w:p>
            <w:pPr>
              <w:pStyle w:val="11"/>
              <w:spacing w:line="242" w:lineRule="auto"/>
              <w:ind w:left="90" w:right="58"/>
              <w:jc w:val="both"/>
              <w:rPr>
                <w:sz w:val="18"/>
              </w:rPr>
            </w:pPr>
            <w:r>
              <w:rPr>
                <w:sz w:val="18"/>
              </w:rPr>
              <w:t>境外分支机构调整分摊扣除的有关成本费用</w:t>
            </w:r>
          </w:p>
        </w:tc>
        <w:tc>
          <w:tcPr>
            <w:tcW w:w="359" w:type="dxa"/>
            <w:tcBorders>
              <w:left w:val="single" w:color="000000" w:sz="6" w:space="0"/>
              <w:bottom w:val="nil"/>
              <w:right w:val="single" w:color="000000" w:sz="6" w:space="0"/>
            </w:tcBorders>
            <w:noWrap w:val="0"/>
            <w:vAlign w:val="top"/>
          </w:tcPr>
          <w:p>
            <w:pPr>
              <w:pStyle w:val="11"/>
              <w:rPr>
                <w:rFonts w:ascii="Times New Roman"/>
                <w:sz w:val="16"/>
              </w:rPr>
            </w:pPr>
          </w:p>
        </w:tc>
        <w:tc>
          <w:tcPr>
            <w:tcW w:w="376" w:type="dxa"/>
            <w:vMerge w:val="restart"/>
            <w:tcBorders>
              <w:left w:val="single" w:color="000000" w:sz="6" w:space="0"/>
              <w:bottom w:val="single" w:color="000000" w:sz="6" w:space="0"/>
              <w:right w:val="single" w:color="000000" w:sz="4" w:space="0"/>
            </w:tcBorders>
            <w:noWrap w:val="0"/>
            <w:vAlign w:val="top"/>
          </w:tcPr>
          <w:p>
            <w:pPr>
              <w:pStyle w:val="11"/>
              <w:rPr>
                <w:b/>
                <w:sz w:val="18"/>
              </w:rPr>
            </w:pPr>
          </w:p>
          <w:p>
            <w:pPr>
              <w:pStyle w:val="11"/>
              <w:rPr>
                <w:b/>
                <w:sz w:val="18"/>
              </w:rPr>
            </w:pPr>
          </w:p>
          <w:p>
            <w:pPr>
              <w:pStyle w:val="11"/>
              <w:rPr>
                <w:b/>
                <w:sz w:val="18"/>
              </w:rPr>
            </w:pPr>
          </w:p>
          <w:p>
            <w:pPr>
              <w:pStyle w:val="11"/>
              <w:spacing w:before="2"/>
              <w:rPr>
                <w:b/>
                <w:sz w:val="13"/>
              </w:rPr>
            </w:pPr>
          </w:p>
          <w:p>
            <w:pPr>
              <w:pStyle w:val="11"/>
              <w:spacing w:line="242" w:lineRule="auto"/>
              <w:ind w:left="124" w:right="-15"/>
              <w:jc w:val="both"/>
              <w:rPr>
                <w:sz w:val="18"/>
              </w:rPr>
            </w:pPr>
            <w:r>
              <w:rPr>
                <w:sz w:val="18"/>
              </w:rPr>
              <w:t>境外所得纳税调整后所得</w:t>
            </w:r>
          </w:p>
        </w:tc>
        <w:tc>
          <w:tcPr>
            <w:tcW w:w="3630" w:type="dxa"/>
            <w:gridSpan w:val="8"/>
            <w:vMerge w:val="restart"/>
            <w:tcBorders>
              <w:left w:val="single" w:color="000000" w:sz="4" w:space="0"/>
              <w:bottom w:val="single" w:color="000000" w:sz="4" w:space="0"/>
            </w:tcBorders>
            <w:noWrap w:val="0"/>
            <w:vAlign w:val="top"/>
          </w:tcPr>
          <w:p>
            <w:pPr>
              <w:pStyle w:val="11"/>
              <w:spacing w:before="119"/>
              <w:ind w:left="395"/>
              <w:rPr>
                <w:sz w:val="18"/>
              </w:rPr>
            </w:pPr>
            <w:r>
              <w:rPr>
                <w:sz w:val="18"/>
              </w:rPr>
              <w:t>其中：海南自由贸易港企业新增境外直接投资所得</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25" w:hRule="atLeast"/>
          <w:jc w:val="center"/>
        </w:trPr>
        <w:tc>
          <w:tcPr>
            <w:tcW w:w="423" w:type="dxa"/>
            <w:vMerge w:val="continue"/>
            <w:tcBorders>
              <w:top w:val="nil"/>
              <w:bottom w:val="single" w:color="000000" w:sz="6" w:space="0"/>
              <w:right w:val="single" w:color="000000" w:sz="6" w:space="0"/>
            </w:tcBorders>
            <w:noWrap w:val="0"/>
            <w:vAlign w:val="top"/>
          </w:tcPr>
          <w:p>
            <w:pPr>
              <w:rPr>
                <w:sz w:val="2"/>
                <w:szCs w:val="2"/>
              </w:rPr>
            </w:pPr>
          </w:p>
        </w:tc>
        <w:tc>
          <w:tcPr>
            <w:tcW w:w="435" w:type="dxa"/>
            <w:tcBorders>
              <w:top w:val="nil"/>
              <w:left w:val="single" w:color="000000" w:sz="6" w:space="0"/>
              <w:bottom w:val="nil"/>
              <w:right w:val="single" w:color="000000" w:sz="6" w:space="0"/>
            </w:tcBorders>
            <w:noWrap w:val="0"/>
            <w:vAlign w:val="top"/>
          </w:tcPr>
          <w:p>
            <w:pPr>
              <w:pStyle w:val="11"/>
              <w:rPr>
                <w:rFonts w:ascii="Times New Roman"/>
                <w:sz w:val="16"/>
              </w:rPr>
            </w:pPr>
          </w:p>
        </w:tc>
        <w:tc>
          <w:tcPr>
            <w:tcW w:w="3203" w:type="dxa"/>
            <w:gridSpan w:val="8"/>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1580" w:type="dxa"/>
            <w:gridSpan w:val="4"/>
            <w:tcBorders>
              <w:top w:val="nil"/>
              <w:left w:val="single" w:color="000000" w:sz="6" w:space="0"/>
              <w:bottom w:val="single" w:color="000000" w:sz="6" w:space="0"/>
              <w:right w:val="single" w:color="000000" w:sz="6" w:space="0"/>
            </w:tcBorders>
            <w:noWrap w:val="0"/>
            <w:vAlign w:val="top"/>
          </w:tcPr>
          <w:p>
            <w:pPr>
              <w:pStyle w:val="11"/>
              <w:spacing w:line="205" w:lineRule="exact"/>
              <w:ind w:left="29"/>
              <w:jc w:val="center"/>
              <w:rPr>
                <w:sz w:val="18"/>
              </w:rPr>
            </w:pPr>
            <w:r>
              <w:rPr>
                <w:sz w:val="18"/>
              </w:rPr>
              <w:t>额</w:t>
            </w:r>
          </w:p>
        </w:tc>
        <w:tc>
          <w:tcPr>
            <w:tcW w:w="395" w:type="dxa"/>
            <w:tcBorders>
              <w:top w:val="nil"/>
              <w:left w:val="single" w:color="000000" w:sz="6" w:space="0"/>
              <w:bottom w:val="nil"/>
              <w:right w:val="single" w:color="000000" w:sz="6" w:space="0"/>
            </w:tcBorders>
            <w:noWrap w:val="0"/>
            <w:vAlign w:val="top"/>
          </w:tcPr>
          <w:p>
            <w:pPr>
              <w:pStyle w:val="11"/>
              <w:rPr>
                <w:rFonts w:ascii="Times New Roman"/>
                <w:sz w:val="16"/>
              </w:rPr>
            </w:pPr>
          </w:p>
        </w:tc>
        <w:tc>
          <w:tcPr>
            <w:tcW w:w="398" w:type="dxa"/>
            <w:tcBorders>
              <w:top w:val="nil"/>
              <w:left w:val="single" w:color="000000" w:sz="6" w:space="0"/>
              <w:bottom w:val="nil"/>
              <w:right w:val="single" w:color="000000" w:sz="6" w:space="0"/>
            </w:tcBorders>
            <w:noWrap w:val="0"/>
            <w:vAlign w:val="top"/>
          </w:tcPr>
          <w:p>
            <w:pPr>
              <w:pStyle w:val="11"/>
              <w:rPr>
                <w:rFonts w:ascii="Times New Roman"/>
                <w:sz w:val="16"/>
              </w:rPr>
            </w:pPr>
          </w:p>
        </w:tc>
        <w:tc>
          <w:tcPr>
            <w:tcW w:w="403"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59" w:type="dxa"/>
            <w:tcBorders>
              <w:top w:val="nil"/>
              <w:left w:val="single" w:color="000000" w:sz="6" w:space="0"/>
              <w:bottom w:val="nil"/>
              <w:right w:val="single" w:color="000000" w:sz="6" w:space="0"/>
            </w:tcBorders>
            <w:noWrap w:val="0"/>
            <w:vAlign w:val="top"/>
          </w:tcPr>
          <w:p>
            <w:pPr>
              <w:pStyle w:val="11"/>
              <w:rPr>
                <w:rFonts w:ascii="Times New Roman"/>
                <w:sz w:val="16"/>
              </w:rPr>
            </w:pPr>
          </w:p>
        </w:tc>
        <w:tc>
          <w:tcPr>
            <w:tcW w:w="376" w:type="dxa"/>
            <w:vMerge w:val="continue"/>
            <w:tcBorders>
              <w:top w:val="nil"/>
              <w:left w:val="single" w:color="000000" w:sz="6" w:space="0"/>
              <w:bottom w:val="single" w:color="000000" w:sz="6" w:space="0"/>
              <w:right w:val="single" w:color="000000" w:sz="4" w:space="0"/>
            </w:tcBorders>
            <w:noWrap w:val="0"/>
            <w:vAlign w:val="top"/>
          </w:tcPr>
          <w:p>
            <w:pPr>
              <w:rPr>
                <w:sz w:val="2"/>
                <w:szCs w:val="2"/>
              </w:rPr>
            </w:pPr>
          </w:p>
        </w:tc>
        <w:tc>
          <w:tcPr>
            <w:tcW w:w="3630" w:type="dxa"/>
            <w:gridSpan w:val="8"/>
            <w:vMerge w:val="continue"/>
            <w:tcBorders>
              <w:top w:val="nil"/>
              <w:left w:val="single" w:color="000000" w:sz="4" w:space="0"/>
              <w:bottom w:val="single" w:color="000000" w:sz="4" w:space="0"/>
            </w:tcBorders>
            <w:noWrap w:val="0"/>
            <w:vAlign w:val="top"/>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65" w:hRule="atLeast"/>
          <w:jc w:val="center"/>
        </w:trPr>
        <w:tc>
          <w:tcPr>
            <w:tcW w:w="423" w:type="dxa"/>
            <w:vMerge w:val="continue"/>
            <w:tcBorders>
              <w:top w:val="nil"/>
              <w:bottom w:val="single" w:color="000000" w:sz="6" w:space="0"/>
              <w:right w:val="single" w:color="000000" w:sz="6" w:space="0"/>
            </w:tcBorders>
            <w:noWrap w:val="0"/>
            <w:vAlign w:val="top"/>
          </w:tcPr>
          <w:p>
            <w:pPr>
              <w:rPr>
                <w:sz w:val="2"/>
                <w:szCs w:val="2"/>
              </w:rPr>
            </w:pPr>
          </w:p>
        </w:tc>
        <w:tc>
          <w:tcPr>
            <w:tcW w:w="435" w:type="dxa"/>
            <w:vMerge w:val="restart"/>
            <w:tcBorders>
              <w:top w:val="nil"/>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12"/>
              <w:rPr>
                <w:b/>
                <w:sz w:val="20"/>
              </w:rPr>
            </w:pPr>
          </w:p>
          <w:p>
            <w:pPr>
              <w:pStyle w:val="11"/>
              <w:spacing w:before="1"/>
              <w:ind w:left="110"/>
              <w:rPr>
                <w:sz w:val="18"/>
              </w:rPr>
            </w:pPr>
            <w:r>
              <w:rPr>
                <w:sz w:val="18"/>
              </w:rPr>
              <w:t>国家</w:t>
            </w:r>
          </w:p>
          <w:p>
            <w:pPr>
              <w:pStyle w:val="11"/>
              <w:spacing w:before="2" w:line="242" w:lineRule="auto"/>
              <w:ind w:left="110" w:right="78"/>
              <w:rPr>
                <w:sz w:val="18"/>
              </w:rPr>
            </w:pPr>
            <w:r>
              <w:rPr>
                <w:sz w:val="18"/>
              </w:rPr>
              <w:t>（</w:t>
            </w:r>
            <w:r>
              <w:rPr>
                <w:spacing w:val="-17"/>
                <w:sz w:val="18"/>
              </w:rPr>
              <w:t>地</w:t>
            </w:r>
            <w:r>
              <w:rPr>
                <w:sz w:val="18"/>
              </w:rPr>
              <w:t>区</w:t>
            </w:r>
            <w:r>
              <w:rPr>
                <w:spacing w:val="-17"/>
                <w:sz w:val="18"/>
              </w:rPr>
              <w:t>）</w:t>
            </w:r>
          </w:p>
        </w:tc>
        <w:tc>
          <w:tcPr>
            <w:tcW w:w="380"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7"/>
              <w:rPr>
                <w:b/>
                <w:sz w:val="21"/>
              </w:rPr>
            </w:pPr>
          </w:p>
          <w:p>
            <w:pPr>
              <w:pStyle w:val="11"/>
              <w:spacing w:line="242" w:lineRule="auto"/>
              <w:ind w:left="74" w:right="43"/>
              <w:jc w:val="both"/>
              <w:rPr>
                <w:sz w:val="18"/>
              </w:rPr>
            </w:pPr>
            <w:r>
              <w:rPr>
                <w:sz w:val="18"/>
              </w:rPr>
              <w:t>分支机构营业利润所得</w:t>
            </w:r>
          </w:p>
        </w:tc>
        <w:tc>
          <w:tcPr>
            <w:tcW w:w="381"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158" w:line="242" w:lineRule="auto"/>
              <w:ind w:left="73" w:right="46" w:hanging="65"/>
              <w:rPr>
                <w:sz w:val="18"/>
              </w:rPr>
            </w:pPr>
            <w:r>
              <w:rPr>
                <w:sz w:val="18"/>
              </w:rPr>
              <w:t>股息红利等权益性投资所得</w:t>
            </w:r>
          </w:p>
        </w:tc>
        <w:tc>
          <w:tcPr>
            <w:tcW w:w="370"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158"/>
              <w:ind w:left="-128"/>
              <w:rPr>
                <w:sz w:val="18"/>
              </w:rPr>
            </w:pPr>
            <w:r>
              <w:rPr>
                <w:sz w:val="18"/>
              </w:rPr>
              <w:t>、</w:t>
            </w:r>
          </w:p>
          <w:p>
            <w:pPr>
              <w:pStyle w:val="11"/>
              <w:spacing w:before="7"/>
              <w:rPr>
                <w:b/>
                <w:sz w:val="18"/>
              </w:rPr>
            </w:pPr>
          </w:p>
          <w:p>
            <w:pPr>
              <w:pStyle w:val="11"/>
              <w:spacing w:line="242" w:lineRule="auto"/>
              <w:ind w:left="68" w:right="37"/>
              <w:rPr>
                <w:sz w:val="18"/>
              </w:rPr>
            </w:pPr>
            <w:r>
              <w:rPr>
                <w:sz w:val="18"/>
              </w:rPr>
              <w:t>利息所得</w:t>
            </w:r>
          </w:p>
        </w:tc>
        <w:tc>
          <w:tcPr>
            <w:tcW w:w="387"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rPr>
                <w:b/>
                <w:sz w:val="18"/>
              </w:rPr>
            </w:pPr>
          </w:p>
          <w:p>
            <w:pPr>
              <w:pStyle w:val="11"/>
              <w:spacing w:before="11"/>
              <w:rPr>
                <w:b/>
                <w:sz w:val="12"/>
              </w:rPr>
            </w:pPr>
          </w:p>
          <w:p>
            <w:pPr>
              <w:pStyle w:val="11"/>
              <w:spacing w:line="242" w:lineRule="auto"/>
              <w:ind w:left="77" w:right="49"/>
              <w:rPr>
                <w:sz w:val="18"/>
              </w:rPr>
            </w:pPr>
            <w:r>
              <w:rPr>
                <w:sz w:val="18"/>
              </w:rPr>
              <w:t>租金所得</w:t>
            </w:r>
          </w:p>
        </w:tc>
        <w:tc>
          <w:tcPr>
            <w:tcW w:w="408"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spacing w:before="9"/>
              <w:rPr>
                <w:b/>
                <w:sz w:val="12"/>
              </w:rPr>
            </w:pPr>
          </w:p>
          <w:p>
            <w:pPr>
              <w:pStyle w:val="11"/>
              <w:spacing w:line="242" w:lineRule="auto"/>
              <w:ind w:left="92" w:right="62"/>
              <w:jc w:val="both"/>
              <w:rPr>
                <w:sz w:val="18"/>
              </w:rPr>
            </w:pPr>
            <w:r>
              <w:rPr>
                <w:sz w:val="18"/>
              </w:rPr>
              <w:t>特许权使用费所得</w:t>
            </w:r>
          </w:p>
        </w:tc>
        <w:tc>
          <w:tcPr>
            <w:tcW w:w="397"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spacing w:before="9"/>
              <w:rPr>
                <w:b/>
                <w:sz w:val="21"/>
              </w:rPr>
            </w:pPr>
          </w:p>
          <w:p>
            <w:pPr>
              <w:pStyle w:val="11"/>
              <w:spacing w:line="242" w:lineRule="auto"/>
              <w:ind w:left="85" w:right="55"/>
              <w:jc w:val="both"/>
              <w:rPr>
                <w:sz w:val="18"/>
              </w:rPr>
            </w:pPr>
            <w:r>
              <w:rPr>
                <w:sz w:val="18"/>
              </w:rPr>
              <w:t>财产转让所得</w:t>
            </w:r>
          </w:p>
        </w:tc>
        <w:tc>
          <w:tcPr>
            <w:tcW w:w="398"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rPr>
                <w:b/>
                <w:sz w:val="18"/>
              </w:rPr>
            </w:pPr>
          </w:p>
          <w:p>
            <w:pPr>
              <w:pStyle w:val="11"/>
              <w:spacing w:before="11"/>
              <w:rPr>
                <w:b/>
                <w:sz w:val="12"/>
              </w:rPr>
            </w:pPr>
          </w:p>
          <w:p>
            <w:pPr>
              <w:pStyle w:val="11"/>
              <w:spacing w:line="242" w:lineRule="auto"/>
              <w:ind w:left="86" w:right="54"/>
              <w:rPr>
                <w:sz w:val="18"/>
              </w:rPr>
            </w:pPr>
            <w:r>
              <w:rPr>
                <w:sz w:val="18"/>
              </w:rPr>
              <w:t>其他所得</w:t>
            </w:r>
          </w:p>
        </w:tc>
        <w:tc>
          <w:tcPr>
            <w:tcW w:w="482"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rPr>
                <w:b/>
                <w:sz w:val="18"/>
              </w:rPr>
            </w:pPr>
          </w:p>
          <w:p>
            <w:pPr>
              <w:pStyle w:val="11"/>
              <w:spacing w:before="1"/>
              <w:rPr>
                <w:b/>
                <w:sz w:val="22"/>
              </w:rPr>
            </w:pPr>
          </w:p>
          <w:p>
            <w:pPr>
              <w:pStyle w:val="11"/>
              <w:ind w:left="141"/>
              <w:rPr>
                <w:sz w:val="18"/>
              </w:rPr>
            </w:pPr>
            <w:r>
              <w:rPr>
                <w:sz w:val="18"/>
              </w:rPr>
              <w:t>小计</w:t>
            </w:r>
          </w:p>
        </w:tc>
        <w:tc>
          <w:tcPr>
            <w:tcW w:w="354"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7"/>
              <w:rPr>
                <w:b/>
                <w:sz w:val="21"/>
              </w:rPr>
            </w:pPr>
          </w:p>
          <w:p>
            <w:pPr>
              <w:pStyle w:val="11"/>
              <w:spacing w:line="242" w:lineRule="auto"/>
              <w:ind w:left="56" w:right="28"/>
              <w:jc w:val="both"/>
              <w:rPr>
                <w:sz w:val="18"/>
              </w:rPr>
            </w:pPr>
            <w:r>
              <w:rPr>
                <w:sz w:val="18"/>
              </w:rPr>
              <w:t>直接缴纳的所得税额</w:t>
            </w:r>
          </w:p>
        </w:tc>
        <w:tc>
          <w:tcPr>
            <w:tcW w:w="386"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7"/>
              <w:rPr>
                <w:b/>
                <w:sz w:val="21"/>
              </w:rPr>
            </w:pPr>
          </w:p>
          <w:p>
            <w:pPr>
              <w:pStyle w:val="11"/>
              <w:spacing w:line="242" w:lineRule="auto"/>
              <w:ind w:left="77" w:right="48"/>
              <w:jc w:val="both"/>
              <w:rPr>
                <w:sz w:val="18"/>
              </w:rPr>
            </w:pPr>
            <w:r>
              <w:rPr>
                <w:sz w:val="18"/>
              </w:rPr>
              <w:t>间接负担的所得税额</w:t>
            </w:r>
          </w:p>
        </w:tc>
        <w:tc>
          <w:tcPr>
            <w:tcW w:w="405"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7"/>
              <w:rPr>
                <w:b/>
                <w:sz w:val="21"/>
              </w:rPr>
            </w:pPr>
          </w:p>
          <w:p>
            <w:pPr>
              <w:pStyle w:val="11"/>
              <w:spacing w:line="242" w:lineRule="auto"/>
              <w:ind w:left="90" w:right="60"/>
              <w:jc w:val="both"/>
              <w:rPr>
                <w:sz w:val="18"/>
              </w:rPr>
            </w:pPr>
            <w:r>
              <w:rPr>
                <w:sz w:val="18"/>
              </w:rPr>
              <w:t>享受税收饶让抵免税额</w:t>
            </w:r>
          </w:p>
        </w:tc>
        <w:tc>
          <w:tcPr>
            <w:tcW w:w="435" w:type="dxa"/>
            <w:vMerge w:val="restart"/>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rPr>
                <w:b/>
                <w:sz w:val="18"/>
              </w:rPr>
            </w:pPr>
          </w:p>
          <w:p>
            <w:pPr>
              <w:pStyle w:val="11"/>
              <w:rPr>
                <w:b/>
                <w:sz w:val="18"/>
              </w:rPr>
            </w:pPr>
          </w:p>
          <w:p>
            <w:pPr>
              <w:pStyle w:val="11"/>
              <w:spacing w:before="1"/>
              <w:rPr>
                <w:b/>
                <w:sz w:val="22"/>
              </w:rPr>
            </w:pPr>
          </w:p>
          <w:p>
            <w:pPr>
              <w:pStyle w:val="11"/>
              <w:ind w:left="109"/>
              <w:rPr>
                <w:sz w:val="18"/>
              </w:rPr>
            </w:pPr>
            <w:r>
              <w:rPr>
                <w:sz w:val="18"/>
              </w:rPr>
              <w:t>小计</w:t>
            </w:r>
          </w:p>
        </w:tc>
        <w:tc>
          <w:tcPr>
            <w:tcW w:w="395" w:type="dxa"/>
            <w:vMerge w:val="restart"/>
            <w:tcBorders>
              <w:top w:val="nil"/>
              <w:left w:val="single" w:color="000000" w:sz="6" w:space="0"/>
              <w:bottom w:val="single" w:color="000000" w:sz="6" w:space="0"/>
              <w:right w:val="single" w:color="000000" w:sz="6" w:space="0"/>
            </w:tcBorders>
            <w:noWrap w:val="0"/>
            <w:vAlign w:val="top"/>
          </w:tcPr>
          <w:p>
            <w:pPr>
              <w:pStyle w:val="11"/>
              <w:rPr>
                <w:b/>
                <w:sz w:val="18"/>
              </w:rPr>
            </w:pPr>
          </w:p>
          <w:p>
            <w:pPr>
              <w:pStyle w:val="11"/>
              <w:rPr>
                <w:b/>
                <w:sz w:val="18"/>
              </w:rPr>
            </w:pPr>
          </w:p>
          <w:p>
            <w:pPr>
              <w:pStyle w:val="11"/>
              <w:spacing w:before="12"/>
              <w:rPr>
                <w:b/>
                <w:sz w:val="20"/>
              </w:rPr>
            </w:pPr>
          </w:p>
          <w:p>
            <w:pPr>
              <w:pStyle w:val="11"/>
              <w:spacing w:before="1" w:line="242" w:lineRule="auto"/>
              <w:ind w:left="84" w:right="53"/>
              <w:jc w:val="both"/>
              <w:rPr>
                <w:sz w:val="18"/>
              </w:rPr>
            </w:pPr>
            <w:r>
              <w:rPr>
                <w:sz w:val="18"/>
              </w:rPr>
              <w:t>境外税前所得</w:t>
            </w:r>
          </w:p>
        </w:tc>
        <w:tc>
          <w:tcPr>
            <w:tcW w:w="398" w:type="dxa"/>
            <w:vMerge w:val="restart"/>
            <w:tcBorders>
              <w:top w:val="nil"/>
              <w:left w:val="single" w:color="000000" w:sz="6" w:space="0"/>
              <w:bottom w:val="single" w:color="000000" w:sz="6" w:space="0"/>
              <w:right w:val="single" w:color="000000" w:sz="6" w:space="0"/>
            </w:tcBorders>
            <w:noWrap w:val="0"/>
            <w:vAlign w:val="top"/>
          </w:tcPr>
          <w:p>
            <w:pPr>
              <w:pStyle w:val="11"/>
              <w:spacing w:before="43" w:line="242" w:lineRule="auto"/>
              <w:ind w:left="66" w:right="36"/>
              <w:jc w:val="both"/>
              <w:rPr>
                <w:sz w:val="20"/>
              </w:rPr>
            </w:pPr>
            <w:r>
              <w:rPr>
                <w:sz w:val="20"/>
              </w:rPr>
              <w:t>境外分支机构收入与支出纳税调整额</w:t>
            </w:r>
          </w:p>
        </w:tc>
        <w:tc>
          <w:tcPr>
            <w:tcW w:w="403"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59" w:type="dxa"/>
            <w:vMerge w:val="restart"/>
            <w:tcBorders>
              <w:top w:val="nil"/>
              <w:left w:val="single" w:color="000000" w:sz="6" w:space="0"/>
              <w:bottom w:val="single" w:color="000000" w:sz="6" w:space="0"/>
              <w:right w:val="single" w:color="000000" w:sz="6" w:space="0"/>
            </w:tcBorders>
            <w:noWrap w:val="0"/>
            <w:vAlign w:val="top"/>
          </w:tcPr>
          <w:p>
            <w:pPr>
              <w:pStyle w:val="11"/>
              <w:spacing w:before="29" w:line="242" w:lineRule="auto"/>
              <w:ind w:left="61" w:right="29"/>
              <w:jc w:val="both"/>
              <w:rPr>
                <w:sz w:val="18"/>
              </w:rPr>
            </w:pPr>
            <w:r>
              <w:rPr>
                <w:sz w:val="18"/>
              </w:rPr>
              <w:t>境外所得对应调整的相关成本费用支出</w:t>
            </w:r>
          </w:p>
        </w:tc>
        <w:tc>
          <w:tcPr>
            <w:tcW w:w="376" w:type="dxa"/>
            <w:vMerge w:val="continue"/>
            <w:tcBorders>
              <w:top w:val="nil"/>
              <w:left w:val="single" w:color="000000" w:sz="6" w:space="0"/>
              <w:bottom w:val="single" w:color="000000" w:sz="6" w:space="0"/>
              <w:right w:val="single" w:color="000000" w:sz="4" w:space="0"/>
            </w:tcBorders>
            <w:noWrap w:val="0"/>
            <w:vAlign w:val="top"/>
          </w:tcPr>
          <w:p>
            <w:pPr>
              <w:rPr>
                <w:sz w:val="2"/>
                <w:szCs w:val="2"/>
              </w:rPr>
            </w:pPr>
          </w:p>
        </w:tc>
        <w:tc>
          <w:tcPr>
            <w:tcW w:w="2093" w:type="dxa"/>
            <w:gridSpan w:val="5"/>
            <w:tcBorders>
              <w:top w:val="single" w:color="000000" w:sz="4" w:space="0"/>
              <w:left w:val="single" w:color="000000" w:sz="4" w:space="0"/>
              <w:bottom w:val="single" w:color="000000" w:sz="4" w:space="0"/>
              <w:right w:val="single" w:color="000000" w:sz="4" w:space="0"/>
            </w:tcBorders>
            <w:noWrap w:val="0"/>
            <w:vAlign w:val="top"/>
          </w:tcPr>
          <w:p>
            <w:pPr>
              <w:pStyle w:val="11"/>
              <w:rPr>
                <w:b/>
                <w:sz w:val="18"/>
              </w:rPr>
            </w:pPr>
          </w:p>
          <w:p>
            <w:pPr>
              <w:pStyle w:val="11"/>
              <w:spacing w:before="7"/>
              <w:rPr>
                <w:b/>
                <w:sz w:val="18"/>
              </w:rPr>
            </w:pPr>
          </w:p>
          <w:p>
            <w:pPr>
              <w:pStyle w:val="11"/>
              <w:ind w:left="474"/>
              <w:rPr>
                <w:sz w:val="18"/>
              </w:rPr>
            </w:pPr>
            <w:r>
              <w:rPr>
                <w:sz w:val="18"/>
              </w:rPr>
              <w:t>新设境外分支机构所得</w:t>
            </w:r>
          </w:p>
        </w:tc>
        <w:tc>
          <w:tcPr>
            <w:tcW w:w="1087" w:type="dxa"/>
            <w:gridSpan w:val="2"/>
            <w:tcBorders>
              <w:top w:val="single" w:color="000000" w:sz="4" w:space="0"/>
              <w:left w:val="single" w:color="000000" w:sz="4" w:space="0"/>
              <w:bottom w:val="single" w:color="000000" w:sz="4" w:space="0"/>
              <w:right w:val="single" w:color="000000" w:sz="4" w:space="0"/>
            </w:tcBorders>
            <w:noWrap w:val="0"/>
            <w:vAlign w:val="top"/>
          </w:tcPr>
          <w:p>
            <w:pPr>
              <w:pStyle w:val="11"/>
              <w:spacing w:before="5"/>
              <w:rPr>
                <w:b/>
                <w:sz w:val="18"/>
              </w:rPr>
            </w:pPr>
          </w:p>
          <w:p>
            <w:pPr>
              <w:pStyle w:val="11"/>
              <w:spacing w:line="242" w:lineRule="auto"/>
              <w:ind w:left="87" w:right="58"/>
              <w:jc w:val="center"/>
              <w:rPr>
                <w:sz w:val="18"/>
              </w:rPr>
            </w:pPr>
            <w:r>
              <w:rPr>
                <w:sz w:val="18"/>
              </w:rPr>
              <w:t>新增境外直接投资相对应的股息所得</w:t>
            </w:r>
          </w:p>
        </w:tc>
        <w:tc>
          <w:tcPr>
            <w:tcW w:w="450" w:type="dxa"/>
            <w:vMerge w:val="restart"/>
            <w:tcBorders>
              <w:top w:val="single" w:color="000000" w:sz="4" w:space="0"/>
              <w:left w:val="single" w:color="000000" w:sz="4" w:space="0"/>
              <w:bottom w:val="single" w:color="000000" w:sz="6" w:space="0"/>
            </w:tcBorders>
            <w:noWrap w:val="0"/>
            <w:vAlign w:val="top"/>
          </w:tcPr>
          <w:p>
            <w:pPr>
              <w:pStyle w:val="11"/>
              <w:spacing w:before="3" w:line="242" w:lineRule="auto"/>
              <w:ind w:left="32" w:right="-15"/>
              <w:jc w:val="center"/>
              <w:rPr>
                <w:sz w:val="18"/>
              </w:rPr>
            </w:pPr>
            <w:r>
              <w:rPr>
                <w:spacing w:val="-4"/>
                <w:sz w:val="18"/>
              </w:rPr>
              <w:t>境外享受免税政策的所得小</w:t>
            </w:r>
            <w:r>
              <w:rPr>
                <w:sz w:val="18"/>
              </w:rPr>
              <w:t>计</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58" w:hRule="atLeast"/>
          <w:jc w:val="center"/>
        </w:trPr>
        <w:tc>
          <w:tcPr>
            <w:tcW w:w="423" w:type="dxa"/>
            <w:vMerge w:val="continue"/>
            <w:tcBorders>
              <w:top w:val="nil"/>
              <w:bottom w:val="single" w:color="000000" w:sz="6" w:space="0"/>
              <w:right w:val="single" w:color="000000" w:sz="6" w:space="0"/>
            </w:tcBorders>
            <w:noWrap w:val="0"/>
            <w:vAlign w:val="top"/>
          </w:tcPr>
          <w:p>
            <w:pPr>
              <w:rPr>
                <w:sz w:val="2"/>
                <w:szCs w:val="2"/>
              </w:rPr>
            </w:pPr>
          </w:p>
        </w:tc>
        <w:tc>
          <w:tcPr>
            <w:tcW w:w="435"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80"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81"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70"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87"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08"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97"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98"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82"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54"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86"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05"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35"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95"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98"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403"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59" w:type="dxa"/>
            <w:vMerge w:val="continue"/>
            <w:tcBorders>
              <w:top w:val="nil"/>
              <w:left w:val="single" w:color="000000" w:sz="6" w:space="0"/>
              <w:bottom w:val="single" w:color="000000" w:sz="6" w:space="0"/>
              <w:right w:val="single" w:color="000000" w:sz="6" w:space="0"/>
            </w:tcBorders>
            <w:noWrap w:val="0"/>
            <w:vAlign w:val="top"/>
          </w:tcPr>
          <w:p>
            <w:pPr>
              <w:rPr>
                <w:sz w:val="2"/>
                <w:szCs w:val="2"/>
              </w:rPr>
            </w:pPr>
          </w:p>
        </w:tc>
        <w:tc>
          <w:tcPr>
            <w:tcW w:w="376" w:type="dxa"/>
            <w:vMerge w:val="continue"/>
            <w:tcBorders>
              <w:top w:val="nil"/>
              <w:left w:val="single" w:color="000000" w:sz="6" w:space="0"/>
              <w:bottom w:val="single" w:color="000000" w:sz="6" w:space="0"/>
              <w:right w:val="single" w:color="000000" w:sz="4" w:space="0"/>
            </w:tcBorders>
            <w:noWrap w:val="0"/>
            <w:vAlign w:val="top"/>
          </w:tcPr>
          <w:p>
            <w:pPr>
              <w:rPr>
                <w:sz w:val="2"/>
                <w:szCs w:val="2"/>
              </w:rPr>
            </w:pPr>
          </w:p>
        </w:tc>
        <w:tc>
          <w:tcPr>
            <w:tcW w:w="353" w:type="dxa"/>
            <w:tcBorders>
              <w:top w:val="single" w:color="000000" w:sz="4"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10"/>
              <w:rPr>
                <w:b/>
                <w:sz w:val="20"/>
              </w:rPr>
            </w:pPr>
          </w:p>
          <w:p>
            <w:pPr>
              <w:pStyle w:val="11"/>
              <w:spacing w:line="242" w:lineRule="auto"/>
              <w:ind w:left="59" w:right="30"/>
              <w:rPr>
                <w:sz w:val="18"/>
              </w:rPr>
            </w:pPr>
            <w:r>
              <w:rPr>
                <w:sz w:val="18"/>
              </w:rPr>
              <w:t>营业利润</w:t>
            </w:r>
          </w:p>
        </w:tc>
        <w:tc>
          <w:tcPr>
            <w:tcW w:w="435" w:type="dxa"/>
            <w:tcBorders>
              <w:top w:val="single" w:color="000000" w:sz="4" w:space="0"/>
              <w:left w:val="single" w:color="000000" w:sz="4" w:space="0"/>
              <w:bottom w:val="single" w:color="000000" w:sz="6" w:space="0"/>
              <w:right w:val="single" w:color="000000" w:sz="4" w:space="0"/>
            </w:tcBorders>
            <w:noWrap w:val="0"/>
            <w:vAlign w:val="top"/>
          </w:tcPr>
          <w:p>
            <w:pPr>
              <w:pStyle w:val="11"/>
              <w:spacing w:before="144" w:line="242" w:lineRule="auto"/>
              <w:ind w:left="23" w:right="-15"/>
              <w:jc w:val="center"/>
              <w:rPr>
                <w:sz w:val="18"/>
              </w:rPr>
            </w:pPr>
            <w:r>
              <w:rPr>
                <w:sz w:val="18"/>
              </w:rPr>
              <w:t>调整分摊扣除的有关成本费用</w:t>
            </w:r>
          </w:p>
        </w:tc>
        <w:tc>
          <w:tcPr>
            <w:tcW w:w="326" w:type="dxa"/>
            <w:tcBorders>
              <w:top w:val="single" w:color="000000" w:sz="4"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149" w:line="242" w:lineRule="auto"/>
              <w:ind w:left="41" w:right="11"/>
              <w:jc w:val="both"/>
              <w:rPr>
                <w:sz w:val="18"/>
              </w:rPr>
            </w:pPr>
            <w:r>
              <w:rPr>
                <w:sz w:val="18"/>
              </w:rPr>
              <w:t>纳税调整额</w:t>
            </w:r>
          </w:p>
        </w:tc>
        <w:tc>
          <w:tcPr>
            <w:tcW w:w="544" w:type="dxa"/>
            <w:tcBorders>
              <w:top w:val="single" w:color="000000" w:sz="4"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149" w:line="242" w:lineRule="auto"/>
              <w:ind w:left="94" w:right="64"/>
              <w:jc w:val="center"/>
              <w:rPr>
                <w:sz w:val="18"/>
              </w:rPr>
            </w:pPr>
            <w:r>
              <w:rPr>
                <w:sz w:val="18"/>
              </w:rPr>
              <w:t>纳税调整后所得</w:t>
            </w:r>
          </w:p>
        </w:tc>
        <w:tc>
          <w:tcPr>
            <w:tcW w:w="435" w:type="dxa"/>
            <w:tcBorders>
              <w:top w:val="single" w:color="000000" w:sz="4"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10"/>
              <w:rPr>
                <w:b/>
                <w:sz w:val="20"/>
              </w:rPr>
            </w:pPr>
          </w:p>
          <w:p>
            <w:pPr>
              <w:pStyle w:val="11"/>
              <w:spacing w:line="242" w:lineRule="auto"/>
              <w:ind w:left="23" w:right="-15"/>
              <w:rPr>
                <w:sz w:val="18"/>
              </w:rPr>
            </w:pPr>
            <w:r>
              <w:rPr>
                <w:spacing w:val="-4"/>
                <w:sz w:val="18"/>
              </w:rPr>
              <w:t>境外所得税额</w:t>
            </w:r>
          </w:p>
        </w:tc>
        <w:tc>
          <w:tcPr>
            <w:tcW w:w="544" w:type="dxa"/>
            <w:tcBorders>
              <w:top w:val="single" w:color="000000" w:sz="4"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149" w:line="242" w:lineRule="auto"/>
              <w:ind w:left="92" w:right="64"/>
              <w:jc w:val="center"/>
              <w:rPr>
                <w:sz w:val="18"/>
              </w:rPr>
            </w:pPr>
            <w:r>
              <w:rPr>
                <w:sz w:val="18"/>
              </w:rPr>
              <w:t>对应的股息所得</w:t>
            </w:r>
          </w:p>
        </w:tc>
        <w:tc>
          <w:tcPr>
            <w:tcW w:w="543" w:type="dxa"/>
            <w:tcBorders>
              <w:top w:val="single" w:color="000000" w:sz="4" w:space="0"/>
              <w:left w:val="single" w:color="000000" w:sz="4" w:space="0"/>
              <w:bottom w:val="single" w:color="000000" w:sz="6" w:space="0"/>
              <w:right w:val="single" w:color="000000" w:sz="4" w:space="0"/>
            </w:tcBorders>
            <w:noWrap w:val="0"/>
            <w:vAlign w:val="top"/>
          </w:tcPr>
          <w:p>
            <w:pPr>
              <w:pStyle w:val="11"/>
              <w:spacing w:before="6"/>
              <w:rPr>
                <w:b/>
                <w:sz w:val="20"/>
              </w:rPr>
            </w:pPr>
          </w:p>
          <w:p>
            <w:pPr>
              <w:pStyle w:val="11"/>
              <w:spacing w:line="242" w:lineRule="auto"/>
              <w:ind w:left="93" w:right="63"/>
              <w:jc w:val="both"/>
              <w:rPr>
                <w:sz w:val="18"/>
              </w:rPr>
            </w:pPr>
            <w:r>
              <w:rPr>
                <w:sz w:val="18"/>
              </w:rPr>
              <w:t>对应的股息境外所得税额</w:t>
            </w:r>
          </w:p>
        </w:tc>
        <w:tc>
          <w:tcPr>
            <w:tcW w:w="450" w:type="dxa"/>
            <w:vMerge w:val="continue"/>
            <w:tcBorders>
              <w:top w:val="nil"/>
              <w:left w:val="single" w:color="000000" w:sz="4" w:space="0"/>
              <w:bottom w:val="single" w:color="000000" w:sz="6" w:space="0"/>
            </w:tcBorders>
            <w:noWrap w:val="0"/>
            <w:vAlign w:val="top"/>
          </w:tcPr>
          <w:p>
            <w:pPr>
              <w:rPr>
                <w:sz w:val="2"/>
                <w:szCs w:val="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63" w:hRule="atLeast"/>
          <w:jc w:val="center"/>
        </w:trPr>
        <w:tc>
          <w:tcPr>
            <w:tcW w:w="423" w:type="dxa"/>
            <w:vMerge w:val="continue"/>
            <w:tcBorders>
              <w:top w:val="nil"/>
              <w:bottom w:val="single" w:color="000000" w:sz="6" w:space="0"/>
              <w:right w:val="single" w:color="000000" w:sz="6" w:space="0"/>
            </w:tcBorders>
            <w:noWrap w:val="0"/>
            <w:vAlign w:val="top"/>
          </w:tcPr>
          <w:p>
            <w:pPr>
              <w:rPr>
                <w:sz w:val="2"/>
                <w:szCs w:val="2"/>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8"/>
              <w:jc w:val="center"/>
              <w:rPr>
                <w:sz w:val="18"/>
              </w:rPr>
            </w:pPr>
            <w:r>
              <w:rPr>
                <w:sz w:val="18"/>
              </w:rPr>
              <w:t>1</w:t>
            </w: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7"/>
              <w:jc w:val="center"/>
              <w:rPr>
                <w:sz w:val="18"/>
              </w:rPr>
            </w:pPr>
            <w:r>
              <w:rPr>
                <w:sz w:val="18"/>
              </w:rPr>
              <w:t>2</w:t>
            </w: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9"/>
              <w:jc w:val="center"/>
              <w:rPr>
                <w:sz w:val="18"/>
              </w:rPr>
            </w:pPr>
            <w:r>
              <w:rPr>
                <w:sz w:val="18"/>
              </w:rPr>
              <w:t>3</w:t>
            </w: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8"/>
              <w:jc w:val="center"/>
              <w:rPr>
                <w:sz w:val="18"/>
              </w:rPr>
            </w:pPr>
            <w:r>
              <w:rPr>
                <w:sz w:val="18"/>
              </w:rPr>
              <w:t>4</w:t>
            </w: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30"/>
              <w:jc w:val="center"/>
              <w:rPr>
                <w:sz w:val="18"/>
              </w:rPr>
            </w:pPr>
            <w:r>
              <w:rPr>
                <w:sz w:val="18"/>
              </w:rPr>
              <w:t>5</w:t>
            </w: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6"/>
              <w:jc w:val="center"/>
              <w:rPr>
                <w:sz w:val="18"/>
              </w:rPr>
            </w:pPr>
            <w:r>
              <w:rPr>
                <w:sz w:val="18"/>
              </w:rPr>
              <w:t>6</w:t>
            </w: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7"/>
              <w:jc w:val="center"/>
              <w:rPr>
                <w:sz w:val="18"/>
              </w:rPr>
            </w:pPr>
            <w:r>
              <w:rPr>
                <w:sz w:val="18"/>
              </w:rPr>
              <w:t>7</w:t>
            </w: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28"/>
              <w:jc w:val="center"/>
              <w:rPr>
                <w:sz w:val="18"/>
              </w:rPr>
            </w:pPr>
            <w:r>
              <w:rPr>
                <w:sz w:val="18"/>
              </w:rPr>
              <w:t>8</w:t>
            </w: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120"/>
              <w:ind w:left="30" w:right="4"/>
              <w:jc w:val="center"/>
              <w:rPr>
                <w:sz w:val="18"/>
              </w:rPr>
            </w:pPr>
            <w:r>
              <w:rPr>
                <w:sz w:val="18"/>
              </w:rPr>
              <w:t>9(2+…</w:t>
            </w:r>
          </w:p>
          <w:p>
            <w:pPr>
              <w:pStyle w:val="11"/>
              <w:spacing w:before="3"/>
              <w:ind w:left="30" w:right="1"/>
              <w:jc w:val="center"/>
              <w:rPr>
                <w:sz w:val="18"/>
              </w:rPr>
            </w:pPr>
            <w:r>
              <w:rPr>
                <w:sz w:val="18"/>
              </w:rPr>
              <w:t>+8)</w:t>
            </w: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147"/>
              <w:rPr>
                <w:sz w:val="18"/>
              </w:rPr>
            </w:pPr>
            <w:r>
              <w:rPr>
                <w:sz w:val="18"/>
              </w:rPr>
              <w:t>10</w:t>
            </w: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168"/>
              <w:rPr>
                <w:sz w:val="18"/>
              </w:rPr>
            </w:pPr>
            <w:r>
              <w:rPr>
                <w:sz w:val="18"/>
              </w:rPr>
              <w:t>11</w:t>
            </w: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181"/>
              <w:rPr>
                <w:sz w:val="18"/>
              </w:rPr>
            </w:pPr>
            <w:r>
              <w:rPr>
                <w:sz w:val="18"/>
              </w:rPr>
              <w:t>12</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120"/>
              <w:ind w:left="20" w:right="-15"/>
              <w:rPr>
                <w:sz w:val="18"/>
              </w:rPr>
            </w:pPr>
            <w:r>
              <w:rPr>
                <w:sz w:val="18"/>
              </w:rPr>
              <w:t>13(10+</w:t>
            </w:r>
          </w:p>
          <w:p>
            <w:pPr>
              <w:pStyle w:val="11"/>
              <w:spacing w:before="3"/>
              <w:ind w:left="20" w:right="-15"/>
              <w:rPr>
                <w:sz w:val="18"/>
              </w:rPr>
            </w:pPr>
            <w:r>
              <w:rPr>
                <w:sz w:val="18"/>
              </w:rPr>
              <w:t>11+12)</w:t>
            </w: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spacing w:before="3"/>
              <w:rPr>
                <w:b/>
                <w:sz w:val="18"/>
              </w:rPr>
            </w:pPr>
          </w:p>
          <w:p>
            <w:pPr>
              <w:pStyle w:val="11"/>
              <w:ind w:left="28"/>
              <w:jc w:val="center"/>
              <w:rPr>
                <w:sz w:val="18"/>
              </w:rPr>
            </w:pPr>
            <w:r>
              <w:rPr>
                <w:sz w:val="18"/>
              </w:rPr>
              <w:t>14(9+</w:t>
            </w:r>
          </w:p>
          <w:p>
            <w:pPr>
              <w:pStyle w:val="11"/>
              <w:spacing w:before="2"/>
              <w:ind w:left="28"/>
              <w:jc w:val="center"/>
              <w:rPr>
                <w:sz w:val="18"/>
              </w:rPr>
            </w:pPr>
            <w:r>
              <w:rPr>
                <w:sz w:val="18"/>
              </w:rPr>
              <w:t>10+11</w:t>
            </w:r>
          </w:p>
          <w:p>
            <w:pPr>
              <w:pStyle w:val="11"/>
              <w:spacing w:before="2"/>
              <w:ind w:left="28"/>
              <w:jc w:val="center"/>
              <w:rPr>
                <w:sz w:val="18"/>
              </w:rPr>
            </w:pPr>
            <w:r>
              <w:rPr>
                <w:sz w:val="18"/>
              </w:rPr>
              <w:t>)</w:t>
            </w: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176"/>
              <w:rPr>
                <w:sz w:val="18"/>
              </w:rPr>
            </w:pPr>
            <w:r>
              <w:rPr>
                <w:sz w:val="18"/>
              </w:rPr>
              <w:t>15</w:t>
            </w: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179"/>
              <w:rPr>
                <w:sz w:val="18"/>
              </w:rPr>
            </w:pPr>
            <w:r>
              <w:rPr>
                <w:sz w:val="18"/>
              </w:rPr>
              <w:t>16</w:t>
            </w: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b/>
                <w:sz w:val="18"/>
              </w:rPr>
            </w:pPr>
          </w:p>
          <w:p>
            <w:pPr>
              <w:pStyle w:val="11"/>
              <w:spacing w:before="5"/>
              <w:rPr>
                <w:b/>
                <w:sz w:val="18"/>
              </w:rPr>
            </w:pPr>
          </w:p>
          <w:p>
            <w:pPr>
              <w:pStyle w:val="11"/>
              <w:ind w:left="150"/>
              <w:rPr>
                <w:sz w:val="18"/>
              </w:rPr>
            </w:pPr>
            <w:r>
              <w:rPr>
                <w:sz w:val="18"/>
              </w:rPr>
              <w:t>17</w:t>
            </w: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spacing w:before="116"/>
              <w:ind w:left="124" w:right="-15"/>
              <w:rPr>
                <w:sz w:val="18"/>
              </w:rPr>
            </w:pPr>
            <w:r>
              <w:rPr>
                <w:sz w:val="18"/>
              </w:rPr>
              <w:t>18(1</w:t>
            </w:r>
          </w:p>
          <w:p>
            <w:pPr>
              <w:pStyle w:val="11"/>
              <w:spacing w:before="4"/>
              <w:ind w:left="124" w:right="-15"/>
              <w:rPr>
                <w:sz w:val="18"/>
              </w:rPr>
            </w:pPr>
            <w:r>
              <w:rPr>
                <w:sz w:val="18"/>
              </w:rPr>
              <w:t>4+15</w:t>
            </w:r>
          </w:p>
          <w:p>
            <w:pPr>
              <w:pStyle w:val="11"/>
              <w:spacing w:before="3"/>
              <w:ind w:left="124" w:right="-15"/>
              <w:rPr>
                <w:sz w:val="18"/>
              </w:rPr>
            </w:pPr>
            <w:r>
              <w:rPr>
                <w:sz w:val="18"/>
              </w:rPr>
              <w:t>-16-</w:t>
            </w:r>
          </w:p>
          <w:p>
            <w:pPr>
              <w:pStyle w:val="11"/>
              <w:spacing w:before="2"/>
              <w:ind w:left="169"/>
              <w:rPr>
                <w:sz w:val="18"/>
              </w:rPr>
            </w:pPr>
            <w:r>
              <w:rPr>
                <w:sz w:val="18"/>
              </w:rPr>
              <w:t>17)</w:t>
            </w: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5"/>
              <w:rPr>
                <w:b/>
                <w:sz w:val="18"/>
              </w:rPr>
            </w:pPr>
          </w:p>
          <w:p>
            <w:pPr>
              <w:pStyle w:val="11"/>
              <w:ind w:left="200"/>
              <w:rPr>
                <w:sz w:val="18"/>
              </w:rPr>
            </w:pPr>
            <w:r>
              <w:rPr>
                <w:sz w:val="18"/>
              </w:rPr>
              <w:t>19</w:t>
            </w: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5"/>
              <w:rPr>
                <w:b/>
                <w:sz w:val="18"/>
              </w:rPr>
            </w:pPr>
          </w:p>
          <w:p>
            <w:pPr>
              <w:pStyle w:val="11"/>
              <w:ind w:left="203"/>
              <w:rPr>
                <w:sz w:val="18"/>
              </w:rPr>
            </w:pPr>
            <w:r>
              <w:rPr>
                <w:sz w:val="18"/>
              </w:rPr>
              <w:t>20</w:t>
            </w: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5"/>
              <w:rPr>
                <w:b/>
                <w:sz w:val="18"/>
              </w:rPr>
            </w:pPr>
          </w:p>
          <w:p>
            <w:pPr>
              <w:pStyle w:val="11"/>
              <w:ind w:left="130"/>
              <w:rPr>
                <w:sz w:val="18"/>
              </w:rPr>
            </w:pPr>
            <w:r>
              <w:rPr>
                <w:sz w:val="18"/>
              </w:rPr>
              <w:t>21</w:t>
            </w: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spacing w:before="3"/>
              <w:rPr>
                <w:b/>
                <w:sz w:val="18"/>
              </w:rPr>
            </w:pPr>
          </w:p>
          <w:p>
            <w:pPr>
              <w:pStyle w:val="11"/>
              <w:ind w:left="94" w:right="64"/>
              <w:jc w:val="center"/>
              <w:rPr>
                <w:sz w:val="18"/>
              </w:rPr>
            </w:pPr>
            <w:r>
              <w:rPr>
                <w:sz w:val="18"/>
              </w:rPr>
              <w:t>22</w:t>
            </w:r>
          </w:p>
          <w:p>
            <w:pPr>
              <w:pStyle w:val="11"/>
              <w:spacing w:before="2"/>
              <w:ind w:left="28" w:right="1"/>
              <w:jc w:val="center"/>
              <w:rPr>
                <w:sz w:val="18"/>
              </w:rPr>
            </w:pPr>
            <w:r>
              <w:rPr>
                <w:sz w:val="18"/>
              </w:rPr>
              <w:t>（19-20</w:t>
            </w:r>
          </w:p>
          <w:p>
            <w:pPr>
              <w:pStyle w:val="11"/>
              <w:spacing w:before="2"/>
              <w:ind w:left="90" w:right="64"/>
              <w:jc w:val="center"/>
              <w:rPr>
                <w:sz w:val="18"/>
              </w:rPr>
            </w:pPr>
            <w:r>
              <w:rPr>
                <w:sz w:val="18"/>
              </w:rPr>
              <w:t>+21）</w:t>
            </w: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5"/>
              <w:rPr>
                <w:b/>
                <w:sz w:val="18"/>
              </w:rPr>
            </w:pPr>
          </w:p>
          <w:p>
            <w:pPr>
              <w:pStyle w:val="11"/>
              <w:ind w:left="203"/>
              <w:rPr>
                <w:sz w:val="18"/>
              </w:rPr>
            </w:pPr>
            <w:r>
              <w:rPr>
                <w:sz w:val="18"/>
              </w:rPr>
              <w:t>23</w:t>
            </w: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5"/>
              <w:rPr>
                <w:b/>
                <w:sz w:val="18"/>
              </w:rPr>
            </w:pPr>
          </w:p>
          <w:p>
            <w:pPr>
              <w:pStyle w:val="11"/>
              <w:ind w:left="90" w:right="64"/>
              <w:jc w:val="center"/>
              <w:rPr>
                <w:sz w:val="18"/>
              </w:rPr>
            </w:pPr>
            <w:r>
              <w:rPr>
                <w:sz w:val="18"/>
              </w:rPr>
              <w:t>24</w:t>
            </w: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b/>
                <w:sz w:val="18"/>
              </w:rPr>
            </w:pPr>
          </w:p>
          <w:p>
            <w:pPr>
              <w:pStyle w:val="11"/>
              <w:spacing w:before="5"/>
              <w:rPr>
                <w:b/>
                <w:sz w:val="18"/>
              </w:rPr>
            </w:pPr>
          </w:p>
          <w:p>
            <w:pPr>
              <w:pStyle w:val="11"/>
              <w:ind w:left="93" w:right="64"/>
              <w:jc w:val="center"/>
              <w:rPr>
                <w:sz w:val="18"/>
              </w:rPr>
            </w:pPr>
            <w:r>
              <w:rPr>
                <w:sz w:val="18"/>
              </w:rPr>
              <w:t>25</w:t>
            </w:r>
          </w:p>
        </w:tc>
        <w:tc>
          <w:tcPr>
            <w:tcW w:w="450" w:type="dxa"/>
            <w:tcBorders>
              <w:top w:val="single" w:color="000000" w:sz="6" w:space="0"/>
              <w:left w:val="single" w:color="000000" w:sz="4" w:space="0"/>
              <w:bottom w:val="single" w:color="000000" w:sz="6" w:space="0"/>
            </w:tcBorders>
            <w:noWrap w:val="0"/>
            <w:vAlign w:val="top"/>
          </w:tcPr>
          <w:p>
            <w:pPr>
              <w:pStyle w:val="11"/>
              <w:spacing w:before="3"/>
              <w:rPr>
                <w:b/>
                <w:sz w:val="18"/>
              </w:rPr>
            </w:pPr>
          </w:p>
          <w:p>
            <w:pPr>
              <w:pStyle w:val="11"/>
              <w:ind w:left="147" w:right="107"/>
              <w:jc w:val="center"/>
              <w:rPr>
                <w:sz w:val="18"/>
              </w:rPr>
            </w:pPr>
            <w:r>
              <w:rPr>
                <w:sz w:val="18"/>
              </w:rPr>
              <w:t>26</w:t>
            </w:r>
          </w:p>
          <w:p>
            <w:pPr>
              <w:pStyle w:val="11"/>
              <w:spacing w:before="2"/>
              <w:ind w:left="32" w:right="-15"/>
              <w:jc w:val="center"/>
              <w:rPr>
                <w:sz w:val="18"/>
              </w:rPr>
            </w:pPr>
            <w:r>
              <w:rPr>
                <w:sz w:val="18"/>
              </w:rPr>
              <w:t>（22+2</w:t>
            </w:r>
          </w:p>
          <w:p>
            <w:pPr>
              <w:pStyle w:val="11"/>
              <w:spacing w:before="2"/>
              <w:ind w:left="147" w:right="108"/>
              <w:jc w:val="center"/>
              <w:rPr>
                <w:sz w:val="18"/>
              </w:rPr>
            </w:pPr>
            <w:r>
              <w:rPr>
                <w:sz w:val="18"/>
              </w:rPr>
              <w:t>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3"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2" w:line="211" w:lineRule="exact"/>
              <w:ind w:left="20"/>
              <w:jc w:val="center"/>
              <w:rPr>
                <w:sz w:val="18"/>
              </w:rPr>
            </w:pPr>
            <w:r>
              <w:rPr>
                <w:sz w:val="18"/>
              </w:rPr>
              <w:t>1</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2"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1" w:line="212" w:lineRule="exact"/>
              <w:ind w:left="20"/>
              <w:jc w:val="center"/>
              <w:rPr>
                <w:sz w:val="18"/>
              </w:rPr>
            </w:pPr>
            <w:r>
              <w:rPr>
                <w:sz w:val="18"/>
              </w:rPr>
              <w:t>2</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3"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line="213" w:lineRule="exact"/>
              <w:ind w:left="20"/>
              <w:jc w:val="center"/>
              <w:rPr>
                <w:sz w:val="18"/>
              </w:rPr>
            </w:pPr>
            <w:r>
              <w:rPr>
                <w:sz w:val="18"/>
              </w:rPr>
              <w:t>3</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3"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1" w:line="212" w:lineRule="exact"/>
              <w:ind w:left="20"/>
              <w:jc w:val="center"/>
              <w:rPr>
                <w:sz w:val="18"/>
              </w:rPr>
            </w:pPr>
            <w:r>
              <w:rPr>
                <w:sz w:val="18"/>
              </w:rPr>
              <w:t>4</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2"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2" w:line="211" w:lineRule="exact"/>
              <w:ind w:left="20"/>
              <w:jc w:val="center"/>
              <w:rPr>
                <w:sz w:val="18"/>
              </w:rPr>
            </w:pPr>
            <w:r>
              <w:rPr>
                <w:sz w:val="18"/>
              </w:rPr>
              <w:t>5</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4"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1" w:line="213" w:lineRule="exact"/>
              <w:ind w:left="20"/>
              <w:jc w:val="center"/>
              <w:rPr>
                <w:sz w:val="18"/>
              </w:rPr>
            </w:pPr>
            <w:r>
              <w:rPr>
                <w:sz w:val="18"/>
              </w:rPr>
              <w:t>6</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2"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2" w:line="211" w:lineRule="exact"/>
              <w:ind w:left="20"/>
              <w:jc w:val="center"/>
              <w:rPr>
                <w:sz w:val="18"/>
              </w:rPr>
            </w:pPr>
            <w:r>
              <w:rPr>
                <w:sz w:val="18"/>
              </w:rPr>
              <w:t>7</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3"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1" w:line="213" w:lineRule="exact"/>
              <w:ind w:left="20"/>
              <w:jc w:val="center"/>
              <w:rPr>
                <w:sz w:val="18"/>
              </w:rPr>
            </w:pPr>
            <w:r>
              <w:rPr>
                <w:sz w:val="18"/>
              </w:rPr>
              <w:t>8</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33" w:hRule="atLeast"/>
          <w:jc w:val="center"/>
        </w:trPr>
        <w:tc>
          <w:tcPr>
            <w:tcW w:w="423" w:type="dxa"/>
            <w:tcBorders>
              <w:top w:val="single" w:color="000000" w:sz="6" w:space="0"/>
              <w:bottom w:val="single" w:color="000000" w:sz="6" w:space="0"/>
              <w:right w:val="single" w:color="000000" w:sz="6" w:space="0"/>
            </w:tcBorders>
            <w:noWrap w:val="0"/>
            <w:vAlign w:val="top"/>
          </w:tcPr>
          <w:p>
            <w:pPr>
              <w:pStyle w:val="11"/>
              <w:spacing w:before="2" w:line="211" w:lineRule="exact"/>
              <w:ind w:left="20"/>
              <w:jc w:val="center"/>
              <w:rPr>
                <w:sz w:val="18"/>
              </w:rPr>
            </w:pPr>
            <w:r>
              <w:rPr>
                <w:sz w:val="18"/>
              </w:rPr>
              <w:t>9</w:t>
            </w: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1"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0"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7"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82"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4"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86"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3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5"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98"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403"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59" w:type="dxa"/>
            <w:tcBorders>
              <w:top w:val="single" w:color="000000" w:sz="6" w:space="0"/>
              <w:left w:val="single" w:color="000000" w:sz="6" w:space="0"/>
              <w:bottom w:val="single" w:color="000000" w:sz="6" w:space="0"/>
              <w:right w:val="single" w:color="000000" w:sz="6" w:space="0"/>
            </w:tcBorders>
            <w:noWrap w:val="0"/>
            <w:vAlign w:val="top"/>
          </w:tcPr>
          <w:p>
            <w:pPr>
              <w:pStyle w:val="11"/>
              <w:rPr>
                <w:rFonts w:ascii="Times New Roman"/>
                <w:sz w:val="16"/>
              </w:rPr>
            </w:pPr>
          </w:p>
        </w:tc>
        <w:tc>
          <w:tcPr>
            <w:tcW w:w="376" w:type="dxa"/>
            <w:tcBorders>
              <w:top w:val="single" w:color="000000" w:sz="6" w:space="0"/>
              <w:left w:val="single" w:color="000000" w:sz="6" w:space="0"/>
              <w:bottom w:val="single" w:color="000000" w:sz="6" w:space="0"/>
              <w:right w:val="single" w:color="000000" w:sz="4" w:space="0"/>
            </w:tcBorders>
            <w:noWrap w:val="0"/>
            <w:vAlign w:val="top"/>
          </w:tcPr>
          <w:p>
            <w:pPr>
              <w:pStyle w:val="11"/>
              <w:rPr>
                <w:rFonts w:ascii="Times New Roman"/>
                <w:sz w:val="16"/>
              </w:rPr>
            </w:pPr>
          </w:p>
        </w:tc>
        <w:tc>
          <w:tcPr>
            <w:tcW w:w="35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326"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35"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4"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543" w:type="dxa"/>
            <w:tcBorders>
              <w:top w:val="single" w:color="000000" w:sz="6" w:space="0"/>
              <w:left w:val="single" w:color="000000" w:sz="4" w:space="0"/>
              <w:bottom w:val="single" w:color="000000" w:sz="6" w:space="0"/>
              <w:right w:val="single" w:color="000000" w:sz="4" w:space="0"/>
            </w:tcBorders>
            <w:noWrap w:val="0"/>
            <w:vAlign w:val="top"/>
          </w:tcPr>
          <w:p>
            <w:pPr>
              <w:pStyle w:val="11"/>
              <w:rPr>
                <w:rFonts w:ascii="Times New Roman"/>
                <w:sz w:val="16"/>
              </w:rPr>
            </w:pPr>
          </w:p>
        </w:tc>
        <w:tc>
          <w:tcPr>
            <w:tcW w:w="450" w:type="dxa"/>
            <w:tcBorders>
              <w:top w:val="single" w:color="000000" w:sz="6" w:space="0"/>
              <w:left w:val="single" w:color="000000" w:sz="4" w:space="0"/>
              <w:bottom w:val="single" w:color="000000" w:sz="6" w:space="0"/>
            </w:tcBorders>
            <w:noWrap w:val="0"/>
            <w:vAlign w:val="top"/>
          </w:tcPr>
          <w:p>
            <w:pPr>
              <w:pStyle w:val="11"/>
              <w:rPr>
                <w:rFonts w:ascii="Times New Roman"/>
                <w:sz w:val="16"/>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jc w:val="center"/>
        </w:trPr>
        <w:tc>
          <w:tcPr>
            <w:tcW w:w="423" w:type="dxa"/>
            <w:tcBorders>
              <w:top w:val="single" w:color="000000" w:sz="6" w:space="0"/>
              <w:right w:val="single" w:color="000000" w:sz="6" w:space="0"/>
            </w:tcBorders>
            <w:noWrap w:val="0"/>
            <w:vAlign w:val="top"/>
          </w:tcPr>
          <w:p>
            <w:pPr>
              <w:pStyle w:val="11"/>
              <w:spacing w:before="118"/>
              <w:ind w:left="164" w:right="144"/>
              <w:jc w:val="center"/>
              <w:rPr>
                <w:sz w:val="18"/>
              </w:rPr>
            </w:pPr>
            <w:r>
              <w:rPr>
                <w:sz w:val="18"/>
              </w:rPr>
              <w:t>10</w:t>
            </w:r>
          </w:p>
        </w:tc>
        <w:tc>
          <w:tcPr>
            <w:tcW w:w="435" w:type="dxa"/>
            <w:tcBorders>
              <w:top w:val="single" w:color="000000" w:sz="6" w:space="0"/>
              <w:left w:val="single" w:color="000000" w:sz="6" w:space="0"/>
              <w:right w:val="single" w:color="000000" w:sz="6" w:space="0"/>
            </w:tcBorders>
            <w:noWrap w:val="0"/>
            <w:vAlign w:val="top"/>
          </w:tcPr>
          <w:p>
            <w:pPr>
              <w:pStyle w:val="11"/>
              <w:spacing w:before="1"/>
              <w:ind w:left="198"/>
              <w:rPr>
                <w:sz w:val="18"/>
              </w:rPr>
            </w:pPr>
            <w:r>
              <w:rPr>
                <w:sz w:val="18"/>
              </w:rPr>
              <w:t>合</w:t>
            </w:r>
          </w:p>
          <w:p>
            <w:pPr>
              <w:pStyle w:val="11"/>
              <w:spacing w:before="4" w:line="210" w:lineRule="exact"/>
              <w:ind w:left="198"/>
              <w:rPr>
                <w:sz w:val="18"/>
              </w:rPr>
            </w:pPr>
            <w:r>
              <w:rPr>
                <w:sz w:val="18"/>
              </w:rPr>
              <w:t>计</w:t>
            </w:r>
          </w:p>
        </w:tc>
        <w:tc>
          <w:tcPr>
            <w:tcW w:w="380"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81"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70"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87"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408"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97"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98"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482"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54"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86"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405"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435"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95"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98"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403"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59" w:type="dxa"/>
            <w:tcBorders>
              <w:top w:val="single" w:color="000000" w:sz="6" w:space="0"/>
              <w:left w:val="single" w:color="000000" w:sz="6" w:space="0"/>
              <w:right w:val="single" w:color="000000" w:sz="6" w:space="0"/>
            </w:tcBorders>
            <w:noWrap w:val="0"/>
            <w:vAlign w:val="top"/>
          </w:tcPr>
          <w:p>
            <w:pPr>
              <w:pStyle w:val="11"/>
              <w:rPr>
                <w:rFonts w:ascii="Times New Roman"/>
                <w:sz w:val="18"/>
              </w:rPr>
            </w:pPr>
          </w:p>
        </w:tc>
        <w:tc>
          <w:tcPr>
            <w:tcW w:w="376" w:type="dxa"/>
            <w:tcBorders>
              <w:top w:val="single" w:color="000000" w:sz="6" w:space="0"/>
              <w:left w:val="single" w:color="000000" w:sz="6" w:space="0"/>
              <w:right w:val="single" w:color="000000" w:sz="4" w:space="0"/>
            </w:tcBorders>
            <w:noWrap w:val="0"/>
            <w:vAlign w:val="top"/>
          </w:tcPr>
          <w:p>
            <w:pPr>
              <w:pStyle w:val="11"/>
              <w:rPr>
                <w:rFonts w:ascii="Times New Roman"/>
                <w:sz w:val="18"/>
              </w:rPr>
            </w:pPr>
          </w:p>
        </w:tc>
        <w:tc>
          <w:tcPr>
            <w:tcW w:w="353"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435"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326"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544"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435"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544"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543" w:type="dxa"/>
            <w:tcBorders>
              <w:top w:val="single" w:color="000000" w:sz="6" w:space="0"/>
              <w:left w:val="single" w:color="000000" w:sz="4" w:space="0"/>
              <w:right w:val="single" w:color="000000" w:sz="4" w:space="0"/>
            </w:tcBorders>
            <w:noWrap w:val="0"/>
            <w:vAlign w:val="top"/>
          </w:tcPr>
          <w:p>
            <w:pPr>
              <w:pStyle w:val="11"/>
              <w:rPr>
                <w:rFonts w:ascii="Times New Roman"/>
                <w:sz w:val="18"/>
              </w:rPr>
            </w:pPr>
          </w:p>
        </w:tc>
        <w:tc>
          <w:tcPr>
            <w:tcW w:w="450" w:type="dxa"/>
            <w:tcBorders>
              <w:top w:val="single" w:color="000000" w:sz="6" w:space="0"/>
              <w:left w:val="single" w:color="000000" w:sz="4" w:space="0"/>
            </w:tcBorders>
            <w:noWrap w:val="0"/>
            <w:vAlign w:val="top"/>
          </w:tcPr>
          <w:p>
            <w:pPr>
              <w:pStyle w:val="11"/>
              <w:rPr>
                <w:rFonts w:ascii="Times New Roman"/>
                <w:sz w:val="18"/>
              </w:rPr>
            </w:pPr>
          </w:p>
        </w:tc>
      </w:tr>
    </w:tbl>
    <w:p>
      <w:pPr>
        <w:pStyle w:val="4"/>
        <w:bidi w:val="0"/>
        <w:rPr>
          <w:rFonts w:hint="eastAsia"/>
          <w:lang w:eastAsia="zh-CN"/>
        </w:rPr>
      </w:pPr>
      <w:r>
        <w:rPr>
          <w:rFonts w:hint="eastAsia"/>
          <w:lang w:eastAsia="zh-CN"/>
        </w:rPr>
        <w:t>A108010 《境外所得纳税调整后所得明细表》填报说明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本表适用于取得境外所得的纳税人填报。纳税人应根据税法、《财政部 国家税务总局关于企业境外所得税收抵免有关问题的通知》（财税〔2009〕125号）和《国家税务总局关于发布〈企业境外所得税收抵免操作指南〉的公告》（2010年第1号）、《财政部 国家税务总局关于我国石油企业从事油（气）资源开采所得税收抵免有关问题的通知》（财税〔2011〕23号）、《财政部 税务总局关于完善企业境外所得税收抵免政策问题的通知》（财税〔2017〕84号）、《财政部 税务总局关于海南自由贸易港企业所得税优惠政策的通知》（财税〔2020〕31号）等规定，填报本年来源于或发生于不同国家、地区的所得按照税收规定计算的境外所得纳税调整后所得。对于境外所得税收抵免方式选择“不分国（地区）不分项”的纳税人，也应按照规定计算可抵免境外所得税税额，并按国（地区）别逐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1 列“国家（地区）”：填报纳税人境外所得来源的国家（地区）名称，来源于同一个国家（地区）的境外所得可合并到一行填报。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2 列至第 9 列“境外税后所得”：填报纳税人取得的来源于境外的税后所得， 包含已计入利润总额以及按照税法相关规定已在《纳税调整项目明细表》（A105000） 进行纳税调整的境外税后所得。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10 列“直接缴纳的所得税额”：填报纳税人来源于境外的营业利润所得在境外所缴纳的企业所得税，以及就来源于或发生于境外的股息、红利等权益性投资所得、利息、租金、特许权使用费、财产转让等所得在境外被源泉扣缴的预提所得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11 列“间接负担的所得税额”：填报纳税人从其直接或者间接控制的外国企业分得的来源于中国境外的股息、红利等权益性投资收益，外国企业在境外实际缴纳的所得税额中属于该项所得负担的部分。</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12 列“享受税收饶让抵免税额”：填报纳税人从与我国政府订立税收协定（或安排）的国家（地区）取得的所得，按照该国（地区）税收法律享受了免税或减税待遇，且该免税或减税的数额按照税收协定应视同已缴税额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15 列“境外分支机构收入与支出纳税调整额”：填报纳税人境外分支机构收入、支出按照税收规定计算的纳税调整额。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 16 列“境外分支机构调整分摊扣除的有关成本费用”：填报纳税人境外分支机构应合理分摊的总部管理费等有关成本费用，同时在《纳税调整项目明细表》（A105000）进行纳税调增。</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 17 列“境外所得对应调整的相关成本费用支出”：填报纳税人实际发生与取得境外所得有关但未直接计入境外所得应纳税所得的成本费用支出，同时在《纳税调整项目明细表》（A105000）进行纳税调增。</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 18 列“境外所得纳税调整后所得”：填报第 14+15-16-17 列的金额。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 19 列至第 26 列“其中：海南自由贸易港企业新增境外直接投资所得”：填报在海南自由贸易港设立的旅游业、现代服务业、高新技术产业企业新增境外直接投资取得的所得。本表“新增投资”是指 2020 年 1 月 1 日以后新设境外分支机构、对境外子公司持股比例超过 20%的新增投资。</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 19 列“营业利润”：填报纳税人已计入本年利润总额的新设立境外分支机构营业利润。</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 20 列“调整分摊扣除的有关成本费用”：填报纳税人境外新设立分支机构本年应合理分摊的总部管理费等有关成本费用。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 21 列“纳税调整额”：填报纳税人境外新设立分支机构收入、扣除等按照税收规定计算的纳税调整额。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 22 列“纳税调整后所得”：填报第 19-20+21 列的金额，若为负数则填 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 23 列“境外所得税额”：填报纳税人新设立的境外分支机构本年营业利润按照中国境外税收法律以及相关规定应当缴纳并已实际缴纳的企业所得税性质的税款，包括从与我国政府订立税收协定（或安排）的国家（地区）取得的新设立的境外分支机构的营业利润按照该国（地区）税收法律享受了免税或减税待遇的税额，且该免税或减税的数额按照税收协定应视同已缴税额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 24 列“对应的股息所得”：填报纳税人本年从其持股比例超过 20%（含）的境外子公司分回的来源于中国境外的股息、红利等权益性投资收益中，属于新增直接投资所对应的股息、红利等权益性投资收益，包括按照税法规定进行纳税调整的股息、红利等权益性投资收益。</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 25 列“对应的股息境外所得税额”：填报纳税人本年从其持股比例超过 20%（含）的境外子公司分回的来源于中国境外的股息、红利等权益性投资收益中，属于新增直接投资所对应的股息、红利等权益性投资收益已缴境外所得税，包含如下：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 xml:space="preserve">一是在境外被源泉扣缴的预提所得税； </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二是间接负担的境外所得税；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三是享受了与我国政府订立税收协定（或安排）的国家（地区）给予的免税或减税待遇，且该免税或减税的数额按照税收协定应视同已缴税额的金额。</w:t>
      </w:r>
    </w:p>
    <w:p>
      <w:pPr>
        <w:keepNext w:val="0"/>
        <w:keepLines w:val="0"/>
        <w:pageBreakBefore w:val="0"/>
        <w:widowControl w:val="0"/>
        <w:numPr>
          <w:ilvl w:val="0"/>
          <w:numId w:val="5"/>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 26 列“境外享受免税政策的所得小计”：填报纳税人按照财税〔2020〕31号规定享受免税的境外所得金额，金额等于第 22+24 列。</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 9 列＝第 2+3+…+8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 13 列＝第 10+11+12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14 列＝第 9+10+11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18 列＝第 14+15-16-17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 22 列=第 19-20+21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 26 列=第 22+24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1、若选择“分国（地区）不分项”的境外所得抵免方式，本表第 13 列各行-第 23 列各行-第 25 列各行＝表 A108000 第 10 列相应行次；若选择“不分国（地区）不分项” 的境外所得抵免方式，本表第 13 列合计-第 23 列合计-第 25 列合计＝表 A108000 第 1行第 10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2、若选择“分国（地区）不分项”的境外所得抵免方式，本表第 14 列各行-第 19 列各行-第 24 列各行＝表 A108000 第 2 列相应行次；若选择“不分国（地区）不分项” 的境外所得抵免方式，本表第 14 列合计-第 19 列合计-第 24 列合计＝表 A108000 第 1行第 2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 14 列合计-第 11 列合计＝表 A100000 第 14 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 16 列合计+第 17 列合计＝表 A105000 第 28 行第 3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5、若选择“分国（地区）不分项”的境外所得抵免方式，本表第 18 列各行-第 26 列各行＝表 A108000 第 3 列相应行次；若选择“不分国（地区）不分项” 的境外所得抵免方式，本表第 18 列合计-第 26 列合计＝表 A108000 第 1 行第 3 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A108020</w:t>
      </w:r>
      <w:r>
        <w:rPr>
          <w:rFonts w:hint="eastAsia"/>
          <w:lang w:eastAsia="zh-CN"/>
        </w:rPr>
        <w:tab/>
      </w:r>
      <w:r>
        <w:rPr>
          <w:rFonts w:hint="eastAsia"/>
          <w:lang w:eastAsia="zh-CN"/>
        </w:rPr>
        <w:t>境外分支机构弥补亏损明细表</w:t>
      </w:r>
    </w:p>
    <w:tbl>
      <w:tblPr>
        <w:tblStyle w:val="8"/>
        <w:tblW w:w="1095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8"/>
        <w:gridCol w:w="1478"/>
        <w:gridCol w:w="1131"/>
        <w:gridCol w:w="1131"/>
        <w:gridCol w:w="1131"/>
        <w:gridCol w:w="1131"/>
        <w:gridCol w:w="1079"/>
        <w:gridCol w:w="1096"/>
        <w:gridCol w:w="1131"/>
        <w:gridCol w:w="10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vMerge w:val="restart"/>
            <w:tcBorders>
              <w:top w:val="single" w:color="auto" w:sz="12" w:space="0"/>
              <w:left w:val="single" w:color="auto" w:sz="12"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行次</w:t>
            </w:r>
          </w:p>
        </w:tc>
        <w:tc>
          <w:tcPr>
            <w:tcW w:w="1478"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国家</w:t>
            </w:r>
            <w:r>
              <w:rPr>
                <w:rFonts w:ascii="宋体" w:hAnsi="宋体" w:cs="宋体"/>
                <w:bCs/>
                <w:kern w:val="0"/>
                <w:sz w:val="20"/>
                <w:szCs w:val="20"/>
              </w:rPr>
              <w:t>(</w:t>
            </w:r>
            <w:r>
              <w:rPr>
                <w:rFonts w:hint="eastAsia" w:ascii="宋体" w:hAnsi="宋体" w:cs="宋体"/>
                <w:bCs/>
                <w:kern w:val="0"/>
                <w:sz w:val="20"/>
                <w:szCs w:val="20"/>
              </w:rPr>
              <w:t>地区</w:t>
            </w:r>
            <w:r>
              <w:rPr>
                <w:rFonts w:ascii="宋体" w:hAnsi="宋体" w:cs="宋体"/>
                <w:bCs/>
                <w:kern w:val="0"/>
                <w:sz w:val="20"/>
                <w:szCs w:val="20"/>
              </w:rPr>
              <w:t>)</w:t>
            </w:r>
          </w:p>
        </w:tc>
        <w:tc>
          <w:tcPr>
            <w:tcW w:w="4524" w:type="dxa"/>
            <w:gridSpan w:val="4"/>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非实际亏损额的弥补</w:t>
            </w:r>
          </w:p>
        </w:tc>
        <w:tc>
          <w:tcPr>
            <w:tcW w:w="4393" w:type="dxa"/>
            <w:gridSpan w:val="4"/>
            <w:tcBorders>
              <w:top w:val="single" w:color="auto" w:sz="12" w:space="0"/>
              <w:left w:val="single" w:color="auto" w:sz="6" w:space="0"/>
              <w:bottom w:val="single" w:color="auto" w:sz="6" w:space="0"/>
              <w:right w:val="single" w:color="auto" w:sz="12"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实际亏损额的弥补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3" w:hRule="atLeast"/>
          <w:jc w:val="center"/>
        </w:trPr>
        <w:tc>
          <w:tcPr>
            <w:tcW w:w="558" w:type="dxa"/>
            <w:vMerge w:val="continue"/>
            <w:tcBorders>
              <w:top w:val="single" w:color="auto" w:sz="6" w:space="0"/>
              <w:left w:val="single" w:color="auto" w:sz="12"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478"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131"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以前年度结转尚未弥补的非实际亏损额</w:t>
            </w:r>
          </w:p>
        </w:tc>
        <w:tc>
          <w:tcPr>
            <w:tcW w:w="1131"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本年发生的非实际亏损额</w:t>
            </w:r>
          </w:p>
        </w:tc>
        <w:tc>
          <w:tcPr>
            <w:tcW w:w="1131"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本年弥补的以前年度非实际亏损额</w:t>
            </w:r>
          </w:p>
        </w:tc>
        <w:tc>
          <w:tcPr>
            <w:tcW w:w="1131"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结转以后年度弥补的非实际亏损额</w:t>
            </w:r>
          </w:p>
        </w:tc>
        <w:tc>
          <w:tcPr>
            <w:tcW w:w="1079"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以前年度结转尚未弥补的实际亏损额</w:t>
            </w:r>
          </w:p>
        </w:tc>
        <w:tc>
          <w:tcPr>
            <w:tcW w:w="1096"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本年发生的实际亏损额</w:t>
            </w:r>
          </w:p>
        </w:tc>
        <w:tc>
          <w:tcPr>
            <w:tcW w:w="1131"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本年弥补的以前年度实际亏损额</w:t>
            </w:r>
          </w:p>
        </w:tc>
        <w:tc>
          <w:tcPr>
            <w:tcW w:w="1087" w:type="dxa"/>
            <w:vMerge w:val="restart"/>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bCs/>
                <w:kern w:val="0"/>
                <w:sz w:val="20"/>
                <w:szCs w:val="20"/>
              </w:rPr>
            </w:pPr>
            <w:r>
              <w:rPr>
                <w:rFonts w:hint="eastAsia" w:ascii="宋体" w:hAnsi="宋体" w:cs="宋体"/>
                <w:bCs/>
                <w:kern w:val="0"/>
                <w:sz w:val="20"/>
                <w:szCs w:val="20"/>
              </w:rPr>
              <w:t>结转以后年度弥补的实际亏损额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3" w:hRule="atLeast"/>
          <w:jc w:val="center"/>
        </w:trPr>
        <w:tc>
          <w:tcPr>
            <w:tcW w:w="558" w:type="dxa"/>
            <w:vMerge w:val="continue"/>
            <w:tcBorders>
              <w:top w:val="single" w:color="auto" w:sz="6" w:space="0"/>
              <w:left w:val="single" w:color="auto" w:sz="12"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478"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131"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131"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131"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131"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079"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096"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131" w:type="dxa"/>
            <w:vMerge w:val="continue"/>
            <w:tcBorders>
              <w:top w:val="single" w:color="auto" w:sz="6" w:space="0"/>
              <w:left w:val="single" w:color="auto" w:sz="6"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087" w:type="dxa"/>
            <w:vMerge w:val="continue"/>
            <w:tcBorders>
              <w:top w:val="single" w:color="auto" w:sz="6" w:space="0"/>
              <w:left w:val="single" w:color="auto" w:sz="6" w:space="0"/>
              <w:bottom w:val="single" w:color="auto" w:sz="6" w:space="0"/>
              <w:right w:val="single" w:color="auto" w:sz="12" w:space="0"/>
            </w:tcBorders>
            <w:noWrap w:val="0"/>
            <w:vAlign w:val="center"/>
          </w:tcPr>
          <w:p>
            <w:pPr>
              <w:keepNext/>
              <w:keepLines/>
              <w:widowControl/>
              <w:spacing w:before="340" w:after="330" w:line="576" w:lineRule="auto"/>
              <w:jc w:val="center"/>
              <w:outlineLvl w:val="0"/>
              <w:rPr>
                <w:rFonts w:ascii="宋体"/>
                <w:bCs/>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58" w:type="dxa"/>
            <w:vMerge w:val="continue"/>
            <w:tcBorders>
              <w:top w:val="single" w:color="auto" w:sz="6" w:space="0"/>
              <w:left w:val="single" w:color="auto" w:sz="12" w:space="0"/>
              <w:bottom w:val="single" w:color="auto" w:sz="6" w:space="0"/>
              <w:right w:val="single" w:color="auto" w:sz="6" w:space="0"/>
            </w:tcBorders>
            <w:noWrap w:val="0"/>
            <w:vAlign w:val="center"/>
          </w:tcPr>
          <w:p>
            <w:pPr>
              <w:keepNext/>
              <w:keepLines/>
              <w:widowControl/>
              <w:spacing w:before="340" w:after="330" w:line="576" w:lineRule="auto"/>
              <w:jc w:val="center"/>
              <w:outlineLvl w:val="0"/>
              <w:rPr>
                <w:rFonts w:ascii="宋体"/>
                <w:bCs/>
                <w:kern w:val="0"/>
                <w:sz w:val="20"/>
                <w:szCs w:val="20"/>
              </w:rPr>
            </w:pP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1</w:t>
            </w: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2</w:t>
            </w: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3</w:t>
            </w: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4</w:t>
            </w: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5(2+3-4)</w:t>
            </w: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6</w:t>
            </w: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7</w:t>
            </w: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bCs/>
                <w:kern w:val="0"/>
                <w:sz w:val="20"/>
                <w:szCs w:val="20"/>
              </w:rPr>
            </w:pPr>
            <w:r>
              <w:rPr>
                <w:rFonts w:ascii="宋体" w:hAnsi="宋体" w:cs="宋体"/>
                <w:bCs/>
                <w:kern w:val="0"/>
                <w:sz w:val="20"/>
                <w:szCs w:val="20"/>
              </w:rPr>
              <w:t>8</w:t>
            </w: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bCs/>
                <w:kern w:val="0"/>
                <w:sz w:val="20"/>
                <w:szCs w:val="20"/>
              </w:rPr>
            </w:pPr>
            <w:r>
              <w:rPr>
                <w:rFonts w:ascii="宋体" w:hAnsi="宋体" w:cs="宋体"/>
                <w:bCs/>
                <w:kern w:val="0"/>
                <w:sz w:val="20"/>
                <w:szCs w:val="20"/>
              </w:rPr>
              <w:t>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2</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3</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4</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5</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6</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7</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8</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6"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9</w:t>
            </w:r>
          </w:p>
        </w:tc>
        <w:tc>
          <w:tcPr>
            <w:tcW w:w="147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6" w:space="0"/>
              <w:right w:val="single" w:color="auto" w:sz="12" w:space="0"/>
            </w:tcBorders>
            <w:noWrap w:val="0"/>
            <w:vAlign w:val="center"/>
          </w:tcPr>
          <w:p>
            <w:pPr>
              <w:widowControl/>
              <w:jc w:val="center"/>
              <w:rPr>
                <w:rFonts w:ascii="宋体"/>
                <w:kern w:val="0"/>
                <w:sz w:val="20"/>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58" w:type="dxa"/>
            <w:tcBorders>
              <w:top w:val="single" w:color="auto" w:sz="6" w:space="0"/>
              <w:left w:val="single" w:color="auto" w:sz="12" w:space="0"/>
              <w:bottom w:val="single" w:color="auto" w:sz="12" w:space="0"/>
              <w:right w:val="single" w:color="auto" w:sz="6" w:space="0"/>
            </w:tcBorders>
            <w:noWrap w:val="0"/>
            <w:vAlign w:val="center"/>
          </w:tcPr>
          <w:p>
            <w:pPr>
              <w:widowControl/>
              <w:jc w:val="center"/>
              <w:rPr>
                <w:rFonts w:ascii="宋体"/>
                <w:kern w:val="0"/>
                <w:sz w:val="20"/>
                <w:szCs w:val="20"/>
              </w:rPr>
            </w:pPr>
            <w:r>
              <w:rPr>
                <w:rFonts w:ascii="宋体" w:hAnsi="宋体" w:cs="宋体"/>
                <w:kern w:val="0"/>
                <w:sz w:val="20"/>
                <w:szCs w:val="20"/>
              </w:rPr>
              <w:t>10</w:t>
            </w:r>
          </w:p>
        </w:tc>
        <w:tc>
          <w:tcPr>
            <w:tcW w:w="1478"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r>
              <w:rPr>
                <w:rFonts w:hint="eastAsia" w:ascii="宋体" w:hAnsi="宋体" w:cs="宋体"/>
                <w:kern w:val="0"/>
                <w:sz w:val="20"/>
                <w:szCs w:val="20"/>
              </w:rPr>
              <w:t>合计</w:t>
            </w:r>
          </w:p>
        </w:tc>
        <w:tc>
          <w:tcPr>
            <w:tcW w:w="1131"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079"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096"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131" w:type="dxa"/>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kern w:val="0"/>
                <w:sz w:val="20"/>
                <w:szCs w:val="20"/>
              </w:rPr>
            </w:pPr>
          </w:p>
        </w:tc>
        <w:tc>
          <w:tcPr>
            <w:tcW w:w="1087" w:type="dxa"/>
            <w:tcBorders>
              <w:top w:val="single" w:color="auto" w:sz="6" w:space="0"/>
              <w:left w:val="single" w:color="auto" w:sz="6" w:space="0"/>
              <w:bottom w:val="single" w:color="auto" w:sz="12" w:space="0"/>
              <w:right w:val="single" w:color="auto" w:sz="12" w:space="0"/>
            </w:tcBorders>
            <w:noWrap w:val="0"/>
            <w:vAlign w:val="center"/>
          </w:tcPr>
          <w:p>
            <w:pPr>
              <w:widowControl/>
              <w:jc w:val="center"/>
              <w:rPr>
                <w:rFonts w:ascii="宋体"/>
                <w:kern w:val="0"/>
                <w:sz w:val="20"/>
                <w:szCs w:val="20"/>
              </w:rPr>
            </w:pPr>
          </w:p>
        </w:tc>
      </w:tr>
    </w:tbl>
    <w:p>
      <w:pPr>
        <w:pStyle w:val="4"/>
        <w:bidi w:val="0"/>
        <w:rPr>
          <w:rFonts w:hint="eastAsia"/>
          <w:lang w:eastAsia="zh-CN"/>
        </w:rPr>
      </w:pPr>
      <w:r>
        <w:rPr>
          <w:rFonts w:hint="eastAsia"/>
          <w:lang w:eastAsia="zh-CN"/>
        </w:rPr>
        <w:t>A108020</w:t>
      </w:r>
      <w:r>
        <w:rPr>
          <w:rFonts w:hint="eastAsia"/>
          <w:lang w:eastAsia="zh-CN"/>
        </w:rPr>
        <w:tab/>
      </w:r>
      <w:r>
        <w:rPr>
          <w:rFonts w:hint="eastAsia"/>
          <w:lang w:eastAsia="zh-CN"/>
        </w:rPr>
        <w:t>《境外分支机构弥补亏损明细表》填报说明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本表适用于取得境外所得的纳税人填报。纳税人应根据税法、《财政部 国家税务总局关于企业境外所得税收抵免有关问题的通知》（财税〔2009〕125号）、《国家税务总局关于发布〈企业境外所得税收抵免操作指南〉的公告》（国家税务总局公告2010年第1号）、《财政部 国家税务总局关于我国石油企业从事油（气）资源开采所得税收抵免有关问题的通知》（财税〔2011〕23号）、《财政部 税务总局关于完善企业境外所得税收抵免政策问题的通知》（财税〔2017〕84号）、《财政部 税务总局关于延长高新技术企业和科技型中小企业亏损结转年限的通知》（财税〔2018〕76号）、《国家税务总局关于延长高新技术企业和科技型中小企业亏损结转弥补年限有关企业所得税处理问题的公告》（国家税务总局公告2018年第45号）规定，填报境外分支机构本年及以前年度发生的税前尚未弥补的非实际亏损额和实际亏损额、结转以后年度弥补的非实际亏损额和实际亏损额，并按国（地区）别逐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纳税人选择“分国（地区）不分项”的境外所得抵免方式，在汇总计算境外应纳税所得额时，企业在境外同一国家（地区）设立不具有独立纳税地位的分支机构，按照企业所得税法及实施条例的有关规定计算的亏损，不得抵减其境内或他国（地区）的应纳税所得额，但可以用同一国家（地区）其他项目或以后年度的所得按规定弥补。纳税人选择“不分国（地区）不分项”的境外所得抵免方式，按照财税〔2017〕84号规定按国（地区）别逐行填报。在填报本表时，应按照国家税务总局公告2010年第1号第三条等有关规定，分析填报企业的境外分支机构发生的实际亏损额和非实际亏损额及其弥补、结转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1、第1列“国家（地区）”：填报纳税人境外所得来源的国家（地区）名称，来源于同一国家（地区）的境外所得合并到一行填报。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2、第2列至第5列“非实际亏损额的弥补”：填报纳税人境外分支机构非实际亏损额未弥补金额、本年发生的金额、本年弥补的金额、结转以后年度弥补的金额。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3、第6列至第9列“实际亏损额的弥补”：填报纳税人境外分支机构实际亏损额弥补金额。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第5列＝第2+3-4列。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若选择“分国（地区）不分项”的境外所得抵免方式，第4列各行+第8列各行＝表A108000第4列相应行次；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若选择“不分国（地区）不分项”的境外所得抵免方式，第4列合计+第8列合计＝表A108000第1行第4列。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A108030</w:t>
      </w:r>
      <w:r>
        <w:rPr>
          <w:rFonts w:hint="eastAsia"/>
          <w:lang w:eastAsia="zh-CN"/>
        </w:rPr>
        <w:tab/>
      </w:r>
      <w:r>
        <w:rPr>
          <w:rFonts w:hint="eastAsia"/>
          <w:lang w:eastAsia="zh-CN"/>
        </w:rPr>
        <w:t>跨年度结转抵免境外所得税明细表</w:t>
      </w:r>
    </w:p>
    <w:tbl>
      <w:tblPr>
        <w:tblStyle w:val="8"/>
        <w:tblW w:w="110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1"/>
        <w:gridCol w:w="509"/>
        <w:gridCol w:w="667"/>
        <w:gridCol w:w="486"/>
        <w:gridCol w:w="520"/>
        <w:gridCol w:w="512"/>
        <w:gridCol w:w="485"/>
        <w:gridCol w:w="566"/>
        <w:gridCol w:w="564"/>
        <w:gridCol w:w="545"/>
        <w:gridCol w:w="571"/>
        <w:gridCol w:w="507"/>
        <w:gridCol w:w="663"/>
        <w:gridCol w:w="565"/>
        <w:gridCol w:w="637"/>
        <w:gridCol w:w="641"/>
        <w:gridCol w:w="668"/>
        <w:gridCol w:w="609"/>
        <w:gridCol w:w="427"/>
        <w:gridCol w:w="57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331"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509" w:type="dxa"/>
            <w:vMerge w:val="restart"/>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国家(地区)</w:t>
            </w:r>
          </w:p>
        </w:tc>
        <w:tc>
          <w:tcPr>
            <w:tcW w:w="3236" w:type="dxa"/>
            <w:gridSpan w:val="6"/>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前五年境外所得已缴所得税未抵免余额</w:t>
            </w:r>
          </w:p>
        </w:tc>
        <w:tc>
          <w:tcPr>
            <w:tcW w:w="3415" w:type="dxa"/>
            <w:gridSpan w:val="6"/>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本年实际抵免以前年度未抵免的境外已缴所得税额</w:t>
            </w:r>
          </w:p>
        </w:tc>
        <w:tc>
          <w:tcPr>
            <w:tcW w:w="3553" w:type="dxa"/>
            <w:gridSpan w:val="6"/>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结转以后年度抵免的境外所得已缴所得税额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331" w:type="dxa"/>
            <w:vMerge w:val="continue"/>
            <w:noWrap w:val="0"/>
            <w:vAlign w:val="center"/>
          </w:tcPr>
          <w:p>
            <w:pPr>
              <w:widowControl/>
              <w:jc w:val="left"/>
              <w:rPr>
                <w:rFonts w:ascii="宋体" w:hAnsi="宋体" w:cs="宋体"/>
                <w:kern w:val="0"/>
                <w:sz w:val="20"/>
                <w:szCs w:val="20"/>
              </w:rPr>
            </w:pPr>
          </w:p>
        </w:tc>
        <w:tc>
          <w:tcPr>
            <w:tcW w:w="509" w:type="dxa"/>
            <w:vMerge w:val="continue"/>
            <w:noWrap w:val="0"/>
            <w:vAlign w:val="center"/>
          </w:tcPr>
          <w:p>
            <w:pPr>
              <w:widowControl/>
              <w:jc w:val="left"/>
              <w:rPr>
                <w:rFonts w:ascii="宋体" w:hAnsi="宋体" w:cs="宋体"/>
                <w:kern w:val="0"/>
                <w:sz w:val="20"/>
                <w:szCs w:val="20"/>
              </w:rPr>
            </w:pPr>
          </w:p>
        </w:tc>
        <w:tc>
          <w:tcPr>
            <w:tcW w:w="66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前五年</w:t>
            </w:r>
          </w:p>
        </w:tc>
        <w:tc>
          <w:tcPr>
            <w:tcW w:w="486"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前四年</w:t>
            </w:r>
          </w:p>
        </w:tc>
        <w:tc>
          <w:tcPr>
            <w:tcW w:w="520"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前三年</w:t>
            </w:r>
          </w:p>
        </w:tc>
        <w:tc>
          <w:tcPr>
            <w:tcW w:w="512"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前二年</w:t>
            </w:r>
          </w:p>
        </w:tc>
        <w:tc>
          <w:tcPr>
            <w:tcW w:w="485"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前一年</w:t>
            </w:r>
          </w:p>
        </w:tc>
        <w:tc>
          <w:tcPr>
            <w:tcW w:w="566"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小计</w:t>
            </w:r>
          </w:p>
        </w:tc>
        <w:tc>
          <w:tcPr>
            <w:tcW w:w="564"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前五年</w:t>
            </w:r>
          </w:p>
        </w:tc>
        <w:tc>
          <w:tcPr>
            <w:tcW w:w="545"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前四年</w:t>
            </w:r>
          </w:p>
        </w:tc>
        <w:tc>
          <w:tcPr>
            <w:tcW w:w="571"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前三年</w:t>
            </w:r>
          </w:p>
        </w:tc>
        <w:tc>
          <w:tcPr>
            <w:tcW w:w="50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前二年</w:t>
            </w:r>
          </w:p>
        </w:tc>
        <w:tc>
          <w:tcPr>
            <w:tcW w:w="663"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前一年</w:t>
            </w:r>
          </w:p>
        </w:tc>
        <w:tc>
          <w:tcPr>
            <w:tcW w:w="565"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小计</w:t>
            </w:r>
          </w:p>
        </w:tc>
        <w:tc>
          <w:tcPr>
            <w:tcW w:w="63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前四年</w:t>
            </w:r>
          </w:p>
        </w:tc>
        <w:tc>
          <w:tcPr>
            <w:tcW w:w="641"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前三年</w:t>
            </w:r>
          </w:p>
        </w:tc>
        <w:tc>
          <w:tcPr>
            <w:tcW w:w="668"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前二年</w:t>
            </w:r>
          </w:p>
        </w:tc>
        <w:tc>
          <w:tcPr>
            <w:tcW w:w="609"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前一年</w:t>
            </w:r>
          </w:p>
        </w:tc>
        <w:tc>
          <w:tcPr>
            <w:tcW w:w="42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本年</w:t>
            </w:r>
          </w:p>
        </w:tc>
        <w:tc>
          <w:tcPr>
            <w:tcW w:w="571"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小计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331" w:type="dxa"/>
            <w:vMerge w:val="continue"/>
            <w:noWrap w:val="0"/>
            <w:vAlign w:val="center"/>
          </w:tcPr>
          <w:p>
            <w:pPr>
              <w:widowControl/>
              <w:jc w:val="left"/>
              <w:rPr>
                <w:rFonts w:ascii="宋体" w:hAnsi="宋体" w:cs="宋体"/>
                <w:kern w:val="0"/>
                <w:sz w:val="20"/>
                <w:szCs w:val="20"/>
              </w:rPr>
            </w:pPr>
          </w:p>
        </w:tc>
        <w:tc>
          <w:tcPr>
            <w:tcW w:w="509"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w:t>
            </w:r>
          </w:p>
        </w:tc>
        <w:tc>
          <w:tcPr>
            <w:tcW w:w="66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2</w:t>
            </w:r>
          </w:p>
        </w:tc>
        <w:tc>
          <w:tcPr>
            <w:tcW w:w="486"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3</w:t>
            </w:r>
          </w:p>
        </w:tc>
        <w:tc>
          <w:tcPr>
            <w:tcW w:w="520"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4</w:t>
            </w:r>
          </w:p>
        </w:tc>
        <w:tc>
          <w:tcPr>
            <w:tcW w:w="512"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5</w:t>
            </w:r>
          </w:p>
        </w:tc>
        <w:tc>
          <w:tcPr>
            <w:tcW w:w="485"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6</w:t>
            </w:r>
          </w:p>
        </w:tc>
        <w:tc>
          <w:tcPr>
            <w:tcW w:w="566"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7(2+</w:t>
            </w:r>
            <w:r>
              <w:rPr>
                <w:rFonts w:ascii="宋体" w:hAnsi="宋体" w:cs="宋体"/>
                <w:kern w:val="0"/>
                <w:sz w:val="20"/>
                <w:szCs w:val="20"/>
              </w:rPr>
              <w:br w:type="textWrapping"/>
            </w:r>
            <w:r>
              <w:rPr>
                <w:rFonts w:ascii="宋体" w:hAnsi="宋体" w:cs="宋体"/>
                <w:kern w:val="0"/>
                <w:sz w:val="20"/>
                <w:szCs w:val="20"/>
              </w:rPr>
              <w:t>…+</w:t>
            </w:r>
            <w:r>
              <w:rPr>
                <w:rFonts w:hint="eastAsia" w:ascii="宋体" w:hAnsi="宋体" w:cs="宋体"/>
                <w:kern w:val="0"/>
                <w:sz w:val="20"/>
                <w:szCs w:val="20"/>
              </w:rPr>
              <w:t>6)</w:t>
            </w:r>
          </w:p>
        </w:tc>
        <w:tc>
          <w:tcPr>
            <w:tcW w:w="564"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8</w:t>
            </w:r>
          </w:p>
        </w:tc>
        <w:tc>
          <w:tcPr>
            <w:tcW w:w="545"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9</w:t>
            </w:r>
          </w:p>
        </w:tc>
        <w:tc>
          <w:tcPr>
            <w:tcW w:w="571"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10</w:t>
            </w:r>
          </w:p>
        </w:tc>
        <w:tc>
          <w:tcPr>
            <w:tcW w:w="50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11</w:t>
            </w:r>
          </w:p>
        </w:tc>
        <w:tc>
          <w:tcPr>
            <w:tcW w:w="663"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12</w:t>
            </w:r>
          </w:p>
        </w:tc>
        <w:tc>
          <w:tcPr>
            <w:tcW w:w="565"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13(8+</w:t>
            </w:r>
            <w:r>
              <w:rPr>
                <w:rFonts w:ascii="宋体" w:hAnsi="宋体" w:cs="宋体"/>
                <w:kern w:val="0"/>
                <w:sz w:val="20"/>
                <w:szCs w:val="20"/>
              </w:rPr>
              <w:br w:type="textWrapping"/>
            </w:r>
            <w:r>
              <w:rPr>
                <w:rFonts w:ascii="宋体" w:hAnsi="宋体" w:cs="宋体"/>
                <w:kern w:val="0"/>
                <w:sz w:val="20"/>
                <w:szCs w:val="20"/>
              </w:rPr>
              <w:t>…</w:t>
            </w:r>
            <w:r>
              <w:rPr>
                <w:rFonts w:hint="eastAsia" w:ascii="宋体" w:hAnsi="宋体" w:cs="宋体"/>
                <w:kern w:val="0"/>
                <w:sz w:val="20"/>
                <w:szCs w:val="20"/>
              </w:rPr>
              <w:t>+12)</w:t>
            </w:r>
          </w:p>
        </w:tc>
        <w:tc>
          <w:tcPr>
            <w:tcW w:w="63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14</w:t>
            </w:r>
            <w:r>
              <w:rPr>
                <w:rFonts w:ascii="宋体" w:hAnsi="宋体" w:cs="宋体"/>
                <w:kern w:val="0"/>
                <w:sz w:val="20"/>
                <w:szCs w:val="20"/>
              </w:rPr>
              <w:br w:type="textWrapping"/>
            </w:r>
            <w:r>
              <w:rPr>
                <w:rFonts w:hint="eastAsia" w:ascii="宋体" w:hAnsi="宋体" w:cs="宋体"/>
                <w:kern w:val="0"/>
                <w:sz w:val="20"/>
                <w:szCs w:val="20"/>
              </w:rPr>
              <w:t>(3-9)</w:t>
            </w:r>
          </w:p>
        </w:tc>
        <w:tc>
          <w:tcPr>
            <w:tcW w:w="641"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15</w:t>
            </w:r>
            <w:r>
              <w:rPr>
                <w:rFonts w:ascii="宋体" w:hAnsi="宋体" w:cs="宋体"/>
                <w:kern w:val="0"/>
                <w:sz w:val="20"/>
                <w:szCs w:val="20"/>
              </w:rPr>
              <w:br w:type="textWrapping"/>
            </w:r>
            <w:r>
              <w:rPr>
                <w:rFonts w:hint="eastAsia" w:ascii="宋体" w:hAnsi="宋体" w:cs="宋体"/>
                <w:kern w:val="0"/>
                <w:sz w:val="20"/>
                <w:szCs w:val="20"/>
              </w:rPr>
              <w:t>(4-10)</w:t>
            </w:r>
          </w:p>
        </w:tc>
        <w:tc>
          <w:tcPr>
            <w:tcW w:w="668"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16</w:t>
            </w:r>
            <w:r>
              <w:rPr>
                <w:rFonts w:ascii="宋体" w:hAnsi="宋体" w:cs="宋体"/>
                <w:kern w:val="0"/>
                <w:sz w:val="20"/>
                <w:szCs w:val="20"/>
              </w:rPr>
              <w:br w:type="textWrapping"/>
            </w:r>
            <w:r>
              <w:rPr>
                <w:rFonts w:hint="eastAsia" w:ascii="宋体" w:hAnsi="宋体" w:cs="宋体"/>
                <w:kern w:val="0"/>
                <w:sz w:val="20"/>
                <w:szCs w:val="20"/>
              </w:rPr>
              <w:t>(5-11)</w:t>
            </w:r>
          </w:p>
        </w:tc>
        <w:tc>
          <w:tcPr>
            <w:tcW w:w="609"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17</w:t>
            </w:r>
            <w:r>
              <w:rPr>
                <w:rFonts w:ascii="宋体" w:hAnsi="宋体" w:cs="宋体"/>
                <w:kern w:val="0"/>
                <w:sz w:val="20"/>
                <w:szCs w:val="20"/>
              </w:rPr>
              <w:br w:type="textWrapping"/>
            </w:r>
            <w:r>
              <w:rPr>
                <w:rFonts w:hint="eastAsia" w:ascii="宋体" w:hAnsi="宋体" w:cs="宋体"/>
                <w:kern w:val="0"/>
                <w:sz w:val="20"/>
                <w:szCs w:val="20"/>
              </w:rPr>
              <w:t>(6-12)</w:t>
            </w:r>
          </w:p>
        </w:tc>
        <w:tc>
          <w:tcPr>
            <w:tcW w:w="427"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18</w:t>
            </w:r>
          </w:p>
        </w:tc>
        <w:tc>
          <w:tcPr>
            <w:tcW w:w="571" w:type="dxa"/>
            <w:noWrap w:val="0"/>
            <w:vAlign w:val="center"/>
          </w:tcPr>
          <w:p>
            <w:pPr>
              <w:widowControl/>
              <w:ind w:left="-105" w:leftChars="-50" w:right="-105" w:rightChars="-50"/>
              <w:jc w:val="center"/>
              <w:rPr>
                <w:rFonts w:ascii="宋体" w:hAnsi="宋体" w:cs="宋体"/>
                <w:kern w:val="0"/>
                <w:sz w:val="20"/>
                <w:szCs w:val="20"/>
              </w:rPr>
            </w:pPr>
            <w:r>
              <w:rPr>
                <w:rFonts w:hint="eastAsia" w:ascii="宋体" w:hAnsi="宋体" w:cs="宋体"/>
                <w:kern w:val="0"/>
                <w:sz w:val="20"/>
                <w:szCs w:val="20"/>
              </w:rPr>
              <w:t>19(14+</w:t>
            </w:r>
            <w:r>
              <w:rPr>
                <w:rFonts w:ascii="宋体" w:hAnsi="宋体" w:cs="宋体"/>
                <w:kern w:val="0"/>
                <w:sz w:val="20"/>
                <w:szCs w:val="20"/>
              </w:rPr>
              <w:br w:type="textWrapping"/>
            </w:r>
            <w:r>
              <w:rPr>
                <w:rFonts w:ascii="宋体" w:hAnsi="宋体" w:cs="宋体"/>
                <w:kern w:val="0"/>
                <w:sz w:val="20"/>
                <w:szCs w:val="20"/>
              </w:rPr>
              <w:t>…</w:t>
            </w:r>
            <w:r>
              <w:rPr>
                <w:rFonts w:hint="eastAsia" w:ascii="宋体" w:hAnsi="宋体" w:cs="宋体"/>
                <w:kern w:val="0"/>
                <w:sz w:val="20"/>
                <w:szCs w:val="20"/>
              </w:rPr>
              <w:t>+18)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5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31"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50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合计</w:t>
            </w:r>
          </w:p>
        </w:tc>
        <w:tc>
          <w:tcPr>
            <w:tcW w:w="6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20"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12"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8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6"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4"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4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0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3"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65"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3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4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68"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0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42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571"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bl>
    <w:p>
      <w:pPr>
        <w:pStyle w:val="4"/>
        <w:bidi w:val="0"/>
        <w:rPr>
          <w:rFonts w:hint="eastAsia"/>
          <w:lang w:eastAsia="zh-CN"/>
        </w:rPr>
      </w:pPr>
      <w:r>
        <w:rPr>
          <w:rFonts w:hint="eastAsia"/>
          <w:lang w:eastAsia="zh-CN"/>
        </w:rPr>
        <w:t>A108030</w:t>
      </w:r>
      <w:r>
        <w:rPr>
          <w:rFonts w:hint="eastAsia"/>
          <w:lang w:eastAsia="zh-CN"/>
        </w:rPr>
        <w:tab/>
      </w:r>
      <w:r>
        <w:rPr>
          <w:rFonts w:hint="eastAsia"/>
          <w:lang w:eastAsia="zh-CN"/>
        </w:rPr>
        <w:t>《跨年度结转抵免境外所得税明细表》填报说明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本表适用于取得境外所得的纳税人填报。纳税人应根据税法、《财政部 国家税务总局关于企业境外所得税收抵免有关问题的通知》（财税〔2009〕125号）、《国家税务总局关于发布〈企业境外所得税收抵免操作指南〉的公告》（国家税务总局公告2010年第1号）、《财政部 国家税务总局关于我国石油企业从事油（气）资源开采所得税收抵免有关问题的通知》（财税〔2011〕23号）、《财政部 税务总局关于完善企业境外所得税收抵免政策问题的通知》（财税〔2017〕84号）规定，填报本年发生的来源于不同国家或地区的境外所得按照我国税收法律、法规的规定可以抵免的所得税额，并按国（地区）别逐行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1、第2列至第7列“前五年境外所得已缴所得税未抵免余额”：填报纳税人前五年境外所得已缴纳的企业所得税尚未抵免的余额。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2、第8列至第13列“本年实际抵免以前年度未抵免的境外已缴所得税额”：填报纳税人用本年未超过境外所得税款抵免限额的余额抵免以前年度未抵免的境外已缴所得税额。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3、第14列至第19列“结转以后年度抵免的境外所得已缴所得税额”：填报纳税人以前年度和本年未能抵免并结转以后年度抵免的境外所得已缴所得税额。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1、第7列＝第2+3+…+6列。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2、第13列＝第8+9+…+12列。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3、第19列＝第14+15+…+18列。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1、若选择“分国（地区）不分项”的境外所得抵免方式，第13列各行＝表A108000第14列相应行次；</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若选择“不分国（地区）不分项” 的境外所得抵免方式，第13列合计＝表A108000第1行第14列。</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2、若选择“分国（地区）不分项”的境外所得抵免方式，第18列各行＝表A108000第10列相应行次-第12列相应行次（当表A108000第10列相应行次大于第12列相应行次时填报）；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若选择“不分国（地区）不分项” 的境外所得抵免方式，第18列合计＝表A108000第1行第10列-第1行第12列（当表A108000第1行第10列次大于第1行第12列时填报）。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A109000</w:t>
      </w:r>
      <w:r>
        <w:rPr>
          <w:rFonts w:hint="eastAsia"/>
          <w:lang w:eastAsia="zh-CN"/>
        </w:rPr>
        <w:tab/>
      </w:r>
      <w:r>
        <w:rPr>
          <w:rFonts w:hint="eastAsia"/>
          <w:lang w:eastAsia="zh-CN"/>
        </w:rPr>
        <w:t>跨地区经营汇总纳税企业年度分摊企业所得税明细表</w:t>
      </w:r>
    </w:p>
    <w:tbl>
      <w:tblPr>
        <w:tblStyle w:val="8"/>
        <w:tblW w:w="97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0"/>
        <w:gridCol w:w="7567"/>
        <w:gridCol w:w="15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行次</w:t>
            </w:r>
          </w:p>
        </w:tc>
        <w:tc>
          <w:tcPr>
            <w:tcW w:w="7567" w:type="dxa"/>
            <w:noWrap w:val="0"/>
            <w:vAlign w:val="center"/>
          </w:tcPr>
          <w:p>
            <w:pPr>
              <w:widowControl/>
              <w:jc w:val="center"/>
              <w:rPr>
                <w:rFonts w:ascii="宋体" w:hAnsi="宋体" w:cs="宋体"/>
                <w:kern w:val="0"/>
                <w:sz w:val="20"/>
                <w:szCs w:val="20"/>
              </w:rPr>
            </w:pPr>
            <w:r>
              <w:rPr>
                <w:rFonts w:hint="eastAsia" w:ascii="宋体" w:hAnsi="宋体" w:cs="宋体"/>
                <w:spacing w:val="500"/>
                <w:kern w:val="0"/>
                <w:sz w:val="20"/>
                <w:szCs w:val="20"/>
                <w:fitText w:val="1400" w:id="10"/>
              </w:rPr>
              <w:t>项</w:t>
            </w:r>
            <w:r>
              <w:rPr>
                <w:rFonts w:hint="eastAsia" w:ascii="宋体" w:hAnsi="宋体" w:cs="宋体"/>
                <w:spacing w:val="0"/>
                <w:kern w:val="0"/>
                <w:sz w:val="20"/>
                <w:szCs w:val="20"/>
                <w:fitText w:val="1400" w:id="10"/>
              </w:rPr>
              <w:t>目</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spacing w:val="200"/>
                <w:kern w:val="0"/>
                <w:sz w:val="20"/>
                <w:szCs w:val="20"/>
                <w:fitText w:val="800" w:id="11"/>
              </w:rPr>
              <w:t>金</w:t>
            </w:r>
            <w:r>
              <w:rPr>
                <w:rFonts w:hint="eastAsia" w:ascii="宋体" w:hAnsi="宋体" w:cs="宋体"/>
                <w:spacing w:val="0"/>
                <w:kern w:val="0"/>
                <w:sz w:val="20"/>
                <w:szCs w:val="20"/>
                <w:fitText w:val="800" w:id="11"/>
              </w:rPr>
              <w:t>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75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一、实际应纳所得税额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减：境外所得应纳所得税额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加：境外所得抵免所得税额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75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二、用于分摊的本年实际应纳所得税额（1-2+3）</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75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三、本年累计已预分、已分摊所得税额（6+7+8+9）</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（一）总机构直接管理建筑项目部已预分所得税额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（二）总机构已分摊所得税额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（三）财政集中已分配所得税额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（四）分支机构已分摊所得税额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7567" w:type="dxa"/>
            <w:noWrap w:val="0"/>
            <w:vAlign w:val="center"/>
          </w:tcPr>
          <w:p>
            <w:pPr>
              <w:widowControl/>
              <w:ind w:firstLine="1000" w:firstLineChars="500"/>
              <w:jc w:val="left"/>
              <w:rPr>
                <w:rFonts w:ascii="宋体" w:hAnsi="宋体" w:cs="宋体"/>
                <w:kern w:val="0"/>
                <w:sz w:val="20"/>
                <w:szCs w:val="20"/>
              </w:rPr>
            </w:pPr>
            <w:r>
              <w:rPr>
                <w:rFonts w:hint="eastAsia" w:ascii="宋体" w:hAnsi="宋体" w:cs="宋体"/>
                <w:kern w:val="0"/>
                <w:sz w:val="20"/>
                <w:szCs w:val="20"/>
              </w:rPr>
              <w:t>其中：总机构主体生产经营部门已分摊所得税额</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75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四、本年度应分摊的应补（退）的所得税额（4-5）</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（一）总机构分摊本年应补（退）的所得税额（11×总机构分摊比例）</w:t>
            </w:r>
          </w:p>
        </w:tc>
        <w:tc>
          <w:tcPr>
            <w:tcW w:w="155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（二）财政集中分配本年应补（退）的所得税额（11×财政集中分配比例）</w:t>
            </w:r>
          </w:p>
        </w:tc>
        <w:tc>
          <w:tcPr>
            <w:tcW w:w="155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7567" w:type="dxa"/>
            <w:noWrap w:val="0"/>
            <w:vAlign w:val="center"/>
          </w:tcPr>
          <w:p>
            <w:pPr>
              <w:widowControl/>
              <w:ind w:firstLine="400" w:firstLineChars="200"/>
              <w:jc w:val="left"/>
              <w:rPr>
                <w:rFonts w:ascii="宋体" w:hAnsi="宋体" w:cs="宋体"/>
                <w:kern w:val="0"/>
                <w:sz w:val="20"/>
                <w:szCs w:val="20"/>
              </w:rPr>
            </w:pPr>
            <w:r>
              <w:rPr>
                <w:rFonts w:hint="eastAsia" w:ascii="宋体" w:hAnsi="宋体" w:cs="宋体"/>
                <w:kern w:val="0"/>
                <w:sz w:val="20"/>
                <w:szCs w:val="20"/>
              </w:rPr>
              <w:t>（三）分支机构分摊本年应补（退）的所得税额（11×分支机构分摊比例）</w:t>
            </w:r>
          </w:p>
        </w:tc>
        <w:tc>
          <w:tcPr>
            <w:tcW w:w="1559"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7567" w:type="dxa"/>
            <w:noWrap w:val="0"/>
            <w:vAlign w:val="center"/>
          </w:tcPr>
          <w:p>
            <w:pPr>
              <w:widowControl/>
              <w:ind w:firstLine="1000" w:firstLineChars="500"/>
              <w:jc w:val="left"/>
              <w:rPr>
                <w:rFonts w:ascii="宋体" w:hAnsi="宋体" w:cs="宋体"/>
                <w:kern w:val="0"/>
                <w:sz w:val="20"/>
                <w:szCs w:val="20"/>
              </w:rPr>
            </w:pPr>
            <w:r>
              <w:rPr>
                <w:rFonts w:hint="eastAsia" w:ascii="宋体" w:hAnsi="宋体" w:cs="宋体"/>
                <w:kern w:val="0"/>
                <w:sz w:val="20"/>
                <w:szCs w:val="20"/>
              </w:rPr>
              <w:t>其中：总机构主体生产经营部门分摊本年应补（退）的所得税额（11×总机构主体生产经营部门分摊比例）</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75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五、境外所得抵免后的应纳所得税额（2-3）</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40"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7567" w:type="dxa"/>
            <w:noWrap w:val="0"/>
            <w:vAlign w:val="center"/>
          </w:tcPr>
          <w:p>
            <w:pPr>
              <w:widowControl/>
              <w:jc w:val="left"/>
              <w:rPr>
                <w:rFonts w:ascii="宋体" w:hAnsi="宋体" w:cs="宋体"/>
                <w:kern w:val="0"/>
                <w:sz w:val="20"/>
                <w:szCs w:val="20"/>
              </w:rPr>
            </w:pPr>
            <w:r>
              <w:rPr>
                <w:rFonts w:hint="eastAsia" w:ascii="宋体" w:hAnsi="宋体" w:cs="宋体"/>
                <w:kern w:val="0"/>
                <w:sz w:val="20"/>
                <w:szCs w:val="20"/>
              </w:rPr>
              <w:t>六、总机构本年应补（退）所得税额（12+13+15+16）</w:t>
            </w:r>
          </w:p>
        </w:tc>
        <w:tc>
          <w:tcPr>
            <w:tcW w:w="1559" w:type="dxa"/>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w:t>
            </w:r>
          </w:p>
        </w:tc>
      </w:tr>
    </w:tbl>
    <w:p>
      <w:pPr>
        <w:pStyle w:val="4"/>
        <w:bidi w:val="0"/>
        <w:rPr>
          <w:rFonts w:hint="eastAsia"/>
          <w:lang w:eastAsia="zh-CN"/>
        </w:rPr>
      </w:pPr>
      <w:r>
        <w:rPr>
          <w:rFonts w:hint="eastAsia"/>
          <w:lang w:eastAsia="zh-CN"/>
        </w:rPr>
        <w:t>A109000</w:t>
      </w:r>
      <w:r>
        <w:rPr>
          <w:rFonts w:hint="eastAsia"/>
          <w:lang w:eastAsia="zh-CN"/>
        </w:rPr>
        <w:tab/>
      </w:r>
      <w:r>
        <w:rPr>
          <w:rFonts w:hint="eastAsia"/>
          <w:lang w:eastAsia="zh-CN"/>
        </w:rPr>
        <w:t>《跨地区经营汇总纳税企业年度分摊企业所得税明细表》填报说明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本表适用于跨地区经营汇总纳税的纳税人填报。纳税人应根据税法、《财政部 国家税务总局 中国人民银行关于印发〈跨省市总分机构企业所得税分配及预算管理办法〉的通知》（财预〔2012〕40号）、《国家税务总局关于印发〈跨地区经营汇总纳税企业所得税征收管理办法〉的公告》（国家税务总局公告2012年第57号）规定计算企业每一纳税年度应缴的企业所得税、总机构和分支机构应分摊的企业所得税。仅在同一省（自治区、直辖市和计划单列市）内设立不具有法人资格分支机构的汇总纳税企业，省（自治区、直辖市和计划单列市）参照上述文件规定制定企业所得税分配管理办法的，按照其规定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一、有关项目填报说明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1、第1行“实际应纳所得税额”：填报表A100000第31行的金额。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2、第2行“境外所得应纳所得税额”：填报表A100000第29行的金额。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3、第3行“境外所得抵免所得税额”：填报表A100000第30行的金额。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4、第4行“用于分摊的本年实际应纳所得税额”：填报第1-2+3行的金额。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5行“本年累计已预分、已分摊所得税额”：填报企业按照税收规定计算的分支机构本年累计已分摊的所得税额、建筑企业总机构直接管理的跨地区项目部本年累计已预分并就地预缴的所得税额。填报第6+7+8+9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6、第6行“总机构直接管理建筑项目部已预分所得税额”：填报建筑企业总机构按照规定在预缴纳税申报时，向其总机构直接管理的项目部所在地按照项目收入的0.2%预分的所得税额。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7、第7行“总机构已分摊所得税额”：填报企业在预缴申报时已按照规定比例计算缴纳的由总机构分摊的所得税额。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8、第8行“财政集中已分配所得税额”：填报企业在预缴申报时已按照规定比例计算缴纳的由财政集中分配的所得税额。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9、第9行“分支机构已分摊所得税额”：填报企业在预缴申报时已按照规定比例计算缴纳的由所属分支机构分摊的所得税额。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10、第10行“其中：总机构主体生产经营部门已分摊所得税额”：填报企业在预缴申报时已按照规定比例计算缴纳的由总机构主体生产经营部门分摊的所得税额。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11、第11行“本年度应分摊的应补（退）的所得税额”：填报企业本年度应补（退）的所得税额，不包括境外所得应纳所得税额。填报第4-5行的余额。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12、第12行“总机构分摊本年应补（退）的所得税额”：填报第11行×总机构分摊比例后的金额。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13、第13行“财政集中分配本年应补（退）的所得税额”：填报第11行×财政集中分配比例后的金额。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14、第14行“分支机构分摊本年应补（退）的所得税额”：填报第11行×分支机构分摊比例后的金额。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15、第15行“其中：总机构主体生产经营部门分摊本年应补（退）的所得税额”：填报第11行×总机构主体生产经营部门分摊比例后的金额。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16、第16行“境外所得抵免后的应纳所得税额”：填报第2-3行的余额。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17、第17行“总机构本年应补（退）所得税额”：填报第12+13+15+16行的合计金额。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1、第4行＝第1-2+3行。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2、第5行＝第6+7+8+9行。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3、第11行＝第4-5行。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4、第12行＝第11行×总机构分摊比例。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5、第13行＝第11行×财政集中分配比例。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6、第14行＝第11行×分支机构分摊比例。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7、第15行＝第11行×总机构主体生产经营部门分摊比例。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8、第16行＝第2-3行。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9、第17行＝第12+13+15+16行。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1、第1行＝表A10000第31行。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2、第2行＝表A10000第29行。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3、第3行＝表A10000第30行。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4、第5行＝表A10000第32行。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5、第12+16行＝表A10000第34行。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6、第13行＝表A100000第35行。</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7、第15行＝表A10000第36行。</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微软雅黑" w:hAnsi="微软雅黑" w:eastAsia="微软雅黑" w:cs="微软雅黑"/>
          <w:lang w:eastAsia="zh-CN"/>
        </w:rPr>
      </w:pPr>
    </w:p>
    <w:p>
      <w:pPr>
        <w:pStyle w:val="3"/>
        <w:bidi w:val="0"/>
        <w:rPr>
          <w:rFonts w:hint="eastAsia"/>
          <w:lang w:eastAsia="zh-CN"/>
        </w:rPr>
      </w:pPr>
      <w:r>
        <w:rPr>
          <w:rFonts w:hint="eastAsia"/>
          <w:lang w:eastAsia="zh-CN"/>
        </w:rPr>
        <w:t>A109010</w:t>
      </w:r>
      <w:r>
        <w:rPr>
          <w:rFonts w:hint="eastAsia"/>
          <w:lang w:eastAsia="zh-CN"/>
        </w:rPr>
        <w:tab/>
      </w:r>
      <w:r>
        <w:rPr>
          <w:rFonts w:hint="eastAsia"/>
          <w:lang w:eastAsia="zh-CN"/>
        </w:rPr>
        <w:t>企业所得税汇总纳税分支机构所得税分配表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p>
    <w:tbl>
      <w:tblPr>
        <w:tblStyle w:val="8"/>
        <w:tblW w:w="11117" w:type="dxa"/>
        <w:jc w:val="center"/>
        <w:tblLayout w:type="fixed"/>
        <w:tblCellMar>
          <w:top w:w="0" w:type="dxa"/>
          <w:left w:w="108" w:type="dxa"/>
          <w:bottom w:w="0" w:type="dxa"/>
          <w:right w:w="108" w:type="dxa"/>
        </w:tblCellMar>
      </w:tblPr>
      <w:tblGrid>
        <w:gridCol w:w="490"/>
        <w:gridCol w:w="2083"/>
        <w:gridCol w:w="2082"/>
        <w:gridCol w:w="1348"/>
        <w:gridCol w:w="1347"/>
        <w:gridCol w:w="1348"/>
        <w:gridCol w:w="812"/>
        <w:gridCol w:w="1607"/>
      </w:tblGrid>
      <w:tr>
        <w:tblPrEx>
          <w:tblCellMar>
            <w:top w:w="0" w:type="dxa"/>
            <w:left w:w="108" w:type="dxa"/>
            <w:bottom w:w="0" w:type="dxa"/>
            <w:right w:w="108" w:type="dxa"/>
          </w:tblCellMar>
        </w:tblPrEx>
        <w:trPr>
          <w:cantSplit/>
          <w:trHeight w:val="340" w:hRule="atLeast"/>
          <w:jc w:val="center"/>
        </w:trPr>
        <w:tc>
          <w:tcPr>
            <w:tcW w:w="11117" w:type="dxa"/>
            <w:gridSpan w:val="8"/>
            <w:tcBorders>
              <w:top w:val="nil"/>
              <w:left w:val="nil"/>
              <w:bottom w:val="nil"/>
              <w:right w:val="nil"/>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税款所属期间：   年  月  日至   年  月  日</w:t>
            </w:r>
          </w:p>
        </w:tc>
      </w:tr>
      <w:tr>
        <w:tblPrEx>
          <w:tblCellMar>
            <w:top w:w="0" w:type="dxa"/>
            <w:left w:w="108" w:type="dxa"/>
            <w:bottom w:w="0" w:type="dxa"/>
            <w:right w:w="108" w:type="dxa"/>
          </w:tblCellMar>
        </w:tblPrEx>
        <w:trPr>
          <w:cantSplit/>
          <w:trHeight w:val="340" w:hRule="atLeast"/>
          <w:jc w:val="center"/>
        </w:trPr>
        <w:tc>
          <w:tcPr>
            <w:tcW w:w="2573" w:type="dxa"/>
            <w:gridSpan w:val="2"/>
            <w:tcBorders>
              <w:top w:val="nil"/>
              <w:left w:val="nil"/>
              <w:bottom w:val="nil"/>
              <w:right w:val="nil"/>
            </w:tcBorders>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总机构名称（盖章）</w:t>
            </w:r>
            <w:r>
              <w:rPr>
                <w:kern w:val="0"/>
                <w:sz w:val="24"/>
              </w:rPr>
              <w:t xml:space="preserve">:                                                                   </w:t>
            </w:r>
          </w:p>
        </w:tc>
        <w:tc>
          <w:tcPr>
            <w:tcW w:w="3430" w:type="dxa"/>
            <w:gridSpan w:val="2"/>
            <w:tcBorders>
              <w:top w:val="nil"/>
              <w:left w:val="nil"/>
              <w:bottom w:val="nil"/>
              <w:right w:val="nil"/>
            </w:tcBorders>
            <w:noWrap w:val="0"/>
            <w:vAlign w:val="center"/>
          </w:tcPr>
          <w:p>
            <w:pPr>
              <w:widowControl/>
              <w:jc w:val="left"/>
              <w:rPr>
                <w:rFonts w:ascii="宋体" w:hAnsi="宋体" w:cs="宋体"/>
                <w:kern w:val="0"/>
                <w:sz w:val="20"/>
                <w:szCs w:val="20"/>
              </w:rPr>
            </w:pPr>
          </w:p>
        </w:tc>
        <w:tc>
          <w:tcPr>
            <w:tcW w:w="1347" w:type="dxa"/>
            <w:tcBorders>
              <w:top w:val="nil"/>
              <w:left w:val="nil"/>
              <w:bottom w:val="nil"/>
              <w:right w:val="nil"/>
            </w:tcBorders>
            <w:noWrap w:val="0"/>
            <w:vAlign w:val="center"/>
          </w:tcPr>
          <w:p>
            <w:pPr>
              <w:widowControl/>
              <w:jc w:val="center"/>
              <w:rPr>
                <w:rFonts w:eastAsia="Times New Roman"/>
                <w:kern w:val="0"/>
                <w:sz w:val="20"/>
                <w:szCs w:val="20"/>
              </w:rPr>
            </w:pPr>
          </w:p>
        </w:tc>
        <w:tc>
          <w:tcPr>
            <w:tcW w:w="1348" w:type="dxa"/>
            <w:tcBorders>
              <w:top w:val="nil"/>
              <w:left w:val="nil"/>
              <w:bottom w:val="nil"/>
              <w:right w:val="nil"/>
            </w:tcBorders>
            <w:noWrap w:val="0"/>
            <w:vAlign w:val="center"/>
          </w:tcPr>
          <w:p>
            <w:pPr>
              <w:widowControl/>
              <w:jc w:val="left"/>
              <w:rPr>
                <w:rFonts w:eastAsia="Times New Roman"/>
                <w:kern w:val="0"/>
                <w:sz w:val="20"/>
                <w:szCs w:val="20"/>
              </w:rPr>
            </w:pPr>
          </w:p>
        </w:tc>
        <w:tc>
          <w:tcPr>
            <w:tcW w:w="2419" w:type="dxa"/>
            <w:gridSpan w:val="2"/>
            <w:tcBorders>
              <w:top w:val="nil"/>
              <w:left w:val="nil"/>
              <w:bottom w:val="nil"/>
              <w:right w:val="nil"/>
            </w:tcBorders>
            <w:noWrap w:val="0"/>
            <w:vAlign w:val="center"/>
          </w:tcPr>
          <w:p>
            <w:pPr>
              <w:widowControl/>
              <w:jc w:val="left"/>
              <w:rPr>
                <w:rFonts w:eastAsia="Times New Roman"/>
                <w:kern w:val="0"/>
                <w:sz w:val="20"/>
                <w:szCs w:val="20"/>
              </w:rPr>
            </w:pPr>
          </w:p>
        </w:tc>
      </w:tr>
      <w:tr>
        <w:tblPrEx>
          <w:tblCellMar>
            <w:top w:w="0" w:type="dxa"/>
            <w:left w:w="108" w:type="dxa"/>
            <w:bottom w:w="0" w:type="dxa"/>
            <w:right w:w="108" w:type="dxa"/>
          </w:tblCellMar>
        </w:tblPrEx>
        <w:trPr>
          <w:cantSplit/>
          <w:trHeight w:val="340" w:hRule="atLeast"/>
          <w:jc w:val="center"/>
        </w:trPr>
        <w:tc>
          <w:tcPr>
            <w:tcW w:w="4655" w:type="dxa"/>
            <w:gridSpan w:val="3"/>
            <w:tcBorders>
              <w:top w:val="nil"/>
              <w:left w:val="nil"/>
              <w:bottom w:val="single" w:color="auto" w:sz="12" w:space="0"/>
              <w:right w:val="nil"/>
            </w:tcBorders>
            <w:noWrap w:val="0"/>
            <w:vAlign w:val="center"/>
          </w:tcPr>
          <w:p>
            <w:pPr>
              <w:widowControl/>
              <w:jc w:val="left"/>
              <w:rPr>
                <w:rFonts w:ascii="宋体" w:hAnsi="宋体" w:cs="宋体"/>
                <w:kern w:val="0"/>
                <w:sz w:val="20"/>
                <w:szCs w:val="20"/>
              </w:rPr>
            </w:pPr>
            <w:r>
              <w:rPr>
                <w:rFonts w:hint="eastAsia" w:ascii="宋体" w:hAnsi="宋体" w:cs="宋体"/>
                <w:kern w:val="0"/>
                <w:sz w:val="20"/>
                <w:szCs w:val="20"/>
              </w:rPr>
              <w:t>总</w:t>
            </w:r>
            <w:bookmarkStart w:id="4" w:name="_Hlk499038456"/>
            <w:r>
              <w:rPr>
                <w:rFonts w:hint="eastAsia" w:ascii="宋体" w:hAnsi="宋体" w:cs="宋体"/>
                <w:kern w:val="0"/>
                <w:sz w:val="20"/>
                <w:szCs w:val="20"/>
              </w:rPr>
              <w:t>机构统一社会信用代码（纳税人识别号）</w:t>
            </w:r>
            <w:bookmarkEnd w:id="4"/>
            <w:r>
              <w:rPr>
                <w:rFonts w:hint="eastAsia" w:ascii="宋体" w:hAnsi="宋体" w:cs="宋体"/>
                <w:kern w:val="0"/>
                <w:sz w:val="20"/>
                <w:szCs w:val="20"/>
              </w:rPr>
              <w:t>：</w:t>
            </w:r>
          </w:p>
        </w:tc>
        <w:tc>
          <w:tcPr>
            <w:tcW w:w="4043" w:type="dxa"/>
            <w:gridSpan w:val="3"/>
            <w:tcBorders>
              <w:top w:val="nil"/>
              <w:left w:val="nil"/>
              <w:bottom w:val="single" w:color="auto" w:sz="12" w:space="0"/>
              <w:right w:val="nil"/>
            </w:tcBorders>
            <w:noWrap w:val="0"/>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2419" w:type="dxa"/>
            <w:gridSpan w:val="2"/>
            <w:tcBorders>
              <w:top w:val="nil"/>
              <w:left w:val="nil"/>
              <w:bottom w:val="single" w:color="auto" w:sz="12" w:space="0"/>
              <w:right w:val="nil"/>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金额单位: 元（列至角分）</w:t>
            </w:r>
          </w:p>
        </w:tc>
      </w:tr>
      <w:tr>
        <w:tblPrEx>
          <w:tblCellMar>
            <w:top w:w="0" w:type="dxa"/>
            <w:left w:w="108" w:type="dxa"/>
            <w:bottom w:w="0" w:type="dxa"/>
            <w:right w:w="108" w:type="dxa"/>
          </w:tblCellMar>
        </w:tblPrEx>
        <w:trPr>
          <w:cantSplit/>
          <w:trHeight w:val="340" w:hRule="atLeast"/>
          <w:jc w:val="center"/>
        </w:trPr>
        <w:tc>
          <w:tcPr>
            <w:tcW w:w="2573" w:type="dxa"/>
            <w:gridSpan w:val="2"/>
            <w:tcBorders>
              <w:top w:val="single" w:color="auto" w:sz="12" w:space="0"/>
              <w:left w:val="single" w:color="auto" w:sz="12"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应纳所得税额</w:t>
            </w:r>
          </w:p>
        </w:tc>
        <w:tc>
          <w:tcPr>
            <w:tcW w:w="2082" w:type="dxa"/>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总机构分摊所得税额</w:t>
            </w:r>
          </w:p>
        </w:tc>
        <w:tc>
          <w:tcPr>
            <w:tcW w:w="4043" w:type="dxa"/>
            <w:gridSpan w:val="3"/>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 总机构财政集中分配所得税额</w:t>
            </w:r>
          </w:p>
        </w:tc>
        <w:tc>
          <w:tcPr>
            <w:tcW w:w="2419" w:type="dxa"/>
            <w:gridSpan w:val="2"/>
            <w:tcBorders>
              <w:top w:val="single" w:color="auto" w:sz="12" w:space="0"/>
              <w:left w:val="single" w:color="auto" w:sz="6" w:space="0"/>
              <w:bottom w:val="single" w:color="auto" w:sz="6" w:space="0"/>
              <w:right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分支机构分摊所得税额</w:t>
            </w:r>
          </w:p>
        </w:tc>
      </w:tr>
      <w:tr>
        <w:tblPrEx>
          <w:tblCellMar>
            <w:top w:w="0" w:type="dxa"/>
            <w:left w:w="108" w:type="dxa"/>
            <w:bottom w:w="0" w:type="dxa"/>
            <w:right w:w="108" w:type="dxa"/>
          </w:tblCellMar>
        </w:tblPrEx>
        <w:trPr>
          <w:cantSplit/>
          <w:trHeight w:val="340" w:hRule="atLeast"/>
          <w:jc w:val="center"/>
        </w:trPr>
        <w:tc>
          <w:tcPr>
            <w:tcW w:w="2573" w:type="dxa"/>
            <w:gridSpan w:val="2"/>
            <w:tcBorders>
              <w:top w:val="single" w:color="auto" w:sz="6" w:space="0"/>
              <w:left w:val="single" w:color="auto" w:sz="12"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4043" w:type="dxa"/>
            <w:gridSpan w:val="3"/>
            <w:tcBorders>
              <w:top w:val="single" w:color="auto" w:sz="6" w:space="0"/>
              <w:left w:val="single" w:color="auto" w:sz="6"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419" w:type="dxa"/>
            <w:gridSpan w:val="2"/>
            <w:tcBorders>
              <w:top w:val="single" w:color="auto" w:sz="6" w:space="0"/>
              <w:left w:val="single" w:color="auto" w:sz="6" w:space="0"/>
              <w:bottom w:val="single" w:color="auto" w:sz="12"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restart"/>
            <w:tcBorders>
              <w:top w:val="single" w:color="auto" w:sz="12" w:space="0"/>
              <w:left w:val="single" w:color="auto" w:sz="12" w:space="0"/>
              <w:bottom w:val="single" w:color="auto" w:sz="6" w:space="0"/>
              <w:right w:val="single" w:color="auto" w:sz="6" w:space="0"/>
            </w:tcBorders>
            <w:noWrap w:val="0"/>
            <w:textDirection w:val="tbRlV"/>
            <w:vAlign w:val="center"/>
          </w:tcPr>
          <w:p>
            <w:pPr>
              <w:widowControl/>
              <w:jc w:val="center"/>
              <w:rPr>
                <w:rFonts w:ascii="宋体" w:hAnsi="宋体" w:cs="宋体"/>
                <w:kern w:val="0"/>
                <w:sz w:val="20"/>
                <w:szCs w:val="20"/>
              </w:rPr>
            </w:pPr>
            <w:r>
              <w:rPr>
                <w:rFonts w:hint="eastAsia" w:ascii="宋体" w:hAnsi="宋体" w:cs="宋体"/>
                <w:kern w:val="0"/>
                <w:sz w:val="20"/>
                <w:szCs w:val="20"/>
              </w:rPr>
              <w:t>分支机构情况</w:t>
            </w:r>
          </w:p>
        </w:tc>
        <w:tc>
          <w:tcPr>
            <w:tcW w:w="2083"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分支机构统一社会信用代码</w:t>
            </w:r>
            <w:r>
              <w:rPr>
                <w:rFonts w:hint="eastAsia" w:ascii="宋体" w:hAnsi="宋体" w:cs="宋体"/>
                <w:kern w:val="0"/>
                <w:sz w:val="20"/>
                <w:szCs w:val="20"/>
              </w:rPr>
              <w:br w:type="textWrapping"/>
            </w:r>
            <w:r>
              <w:rPr>
                <w:rFonts w:hint="eastAsia" w:ascii="宋体" w:hAnsi="宋体" w:cs="宋体"/>
                <w:kern w:val="0"/>
                <w:sz w:val="20"/>
                <w:szCs w:val="20"/>
              </w:rPr>
              <w:t>（纳税人识别号）</w:t>
            </w:r>
          </w:p>
        </w:tc>
        <w:tc>
          <w:tcPr>
            <w:tcW w:w="2082"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分支机构名称</w:t>
            </w:r>
          </w:p>
        </w:tc>
        <w:tc>
          <w:tcPr>
            <w:tcW w:w="4043" w:type="dxa"/>
            <w:gridSpan w:val="3"/>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三项因素</w:t>
            </w:r>
          </w:p>
        </w:tc>
        <w:tc>
          <w:tcPr>
            <w:tcW w:w="812" w:type="dxa"/>
            <w:vMerge w:val="restart"/>
            <w:tcBorders>
              <w:top w:val="single" w:color="auto" w:sz="12"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分配</w:t>
            </w:r>
            <w:r>
              <w:rPr>
                <w:rFonts w:hint="eastAsia" w:ascii="宋体" w:hAnsi="宋体" w:cs="宋体"/>
                <w:kern w:val="0"/>
                <w:sz w:val="20"/>
                <w:szCs w:val="20"/>
              </w:rPr>
              <w:br w:type="textWrapping"/>
            </w:r>
            <w:r>
              <w:rPr>
                <w:rFonts w:hint="eastAsia" w:ascii="宋体" w:hAnsi="宋体" w:cs="宋体"/>
                <w:kern w:val="0"/>
                <w:sz w:val="20"/>
                <w:szCs w:val="20"/>
              </w:rPr>
              <w:t>比例</w:t>
            </w:r>
          </w:p>
        </w:tc>
        <w:tc>
          <w:tcPr>
            <w:tcW w:w="1607" w:type="dxa"/>
            <w:vMerge w:val="restart"/>
            <w:tcBorders>
              <w:top w:val="single" w:color="auto" w:sz="12" w:space="0"/>
              <w:left w:val="single" w:color="auto" w:sz="6" w:space="0"/>
              <w:bottom w:val="single" w:color="auto" w:sz="6" w:space="0"/>
              <w:right w:val="single" w:color="auto" w:sz="12"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分配所得税额</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2"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营业收入</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职工薪酬</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资产总额</w:t>
            </w:r>
          </w:p>
        </w:tc>
        <w:tc>
          <w:tcPr>
            <w:tcW w:w="812"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1607" w:type="dxa"/>
            <w:vMerge w:val="continue"/>
            <w:tcBorders>
              <w:top w:val="single" w:color="auto" w:sz="6" w:space="0"/>
              <w:left w:val="single" w:color="auto" w:sz="6" w:space="0"/>
              <w:bottom w:val="single" w:color="auto" w:sz="6" w:space="0"/>
              <w:right w:val="single" w:color="auto" w:sz="12" w:space="0"/>
            </w:tcBorders>
            <w:noWrap w:val="0"/>
            <w:vAlign w:val="center"/>
          </w:tcPr>
          <w:p>
            <w:pPr>
              <w:widowControl/>
              <w:jc w:val="left"/>
              <w:rPr>
                <w:rFonts w:ascii="宋体" w:hAnsi="宋体" w:cs="宋体"/>
                <w:kern w:val="0"/>
                <w:sz w:val="20"/>
                <w:szCs w:val="20"/>
              </w:rPr>
            </w:pP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jc w:val="left"/>
              <w:rPr>
                <w:rFonts w:ascii="宋体" w:hAnsi="宋体" w:cs="宋体"/>
                <w:kern w:val="0"/>
                <w:sz w:val="20"/>
                <w:szCs w:val="20"/>
              </w:rPr>
            </w:pPr>
          </w:p>
        </w:tc>
        <w:tc>
          <w:tcPr>
            <w:tcW w:w="2083"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08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6"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6"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cantSplit/>
          <w:trHeight w:val="340" w:hRule="atLeast"/>
          <w:jc w:val="center"/>
        </w:trPr>
        <w:tc>
          <w:tcPr>
            <w:tcW w:w="490" w:type="dxa"/>
            <w:vMerge w:val="continue"/>
            <w:tcBorders>
              <w:top w:val="single" w:color="auto" w:sz="6" w:space="0"/>
              <w:left w:val="single" w:color="auto" w:sz="12" w:space="0"/>
              <w:bottom w:val="single" w:color="auto" w:sz="12" w:space="0"/>
              <w:right w:val="single" w:color="auto" w:sz="6" w:space="0"/>
            </w:tcBorders>
            <w:noWrap w:val="0"/>
            <w:vAlign w:val="center"/>
          </w:tcPr>
          <w:p>
            <w:pPr>
              <w:widowControl/>
              <w:jc w:val="left"/>
              <w:rPr>
                <w:rFonts w:ascii="宋体" w:hAnsi="宋体" w:cs="宋体"/>
                <w:kern w:val="0"/>
                <w:sz w:val="20"/>
                <w:szCs w:val="20"/>
              </w:rPr>
            </w:pPr>
          </w:p>
        </w:tc>
        <w:tc>
          <w:tcPr>
            <w:tcW w:w="4165" w:type="dxa"/>
            <w:gridSpan w:val="2"/>
            <w:tcBorders>
              <w:top w:val="single" w:color="auto" w:sz="6" w:space="0"/>
              <w:left w:val="single" w:color="auto" w:sz="6" w:space="0"/>
              <w:bottom w:val="single" w:color="auto" w:sz="12" w:space="0"/>
              <w:right w:val="single" w:color="auto" w:sz="6" w:space="0"/>
            </w:tcBorders>
            <w:noWrap w:val="0"/>
            <w:vAlign w:val="center"/>
          </w:tcPr>
          <w:p>
            <w:pPr>
              <w:widowControl/>
              <w:jc w:val="center"/>
              <w:rPr>
                <w:rFonts w:ascii="宋体" w:hAnsi="宋体" w:cs="宋体"/>
                <w:kern w:val="0"/>
                <w:sz w:val="20"/>
                <w:szCs w:val="20"/>
              </w:rPr>
            </w:pPr>
            <w:r>
              <w:rPr>
                <w:rFonts w:hint="eastAsia" w:ascii="宋体" w:hAnsi="宋体" w:cs="宋体"/>
                <w:kern w:val="0"/>
                <w:sz w:val="20"/>
                <w:szCs w:val="20"/>
              </w:rPr>
              <w:t>合计</w:t>
            </w:r>
          </w:p>
        </w:tc>
        <w:tc>
          <w:tcPr>
            <w:tcW w:w="1348" w:type="dxa"/>
            <w:tcBorders>
              <w:top w:val="single" w:color="auto" w:sz="6" w:space="0"/>
              <w:left w:val="single" w:color="auto" w:sz="6"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7" w:type="dxa"/>
            <w:tcBorders>
              <w:top w:val="single" w:color="auto" w:sz="6" w:space="0"/>
              <w:left w:val="single" w:color="auto" w:sz="6"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348" w:type="dxa"/>
            <w:tcBorders>
              <w:top w:val="single" w:color="auto" w:sz="6" w:space="0"/>
              <w:left w:val="single" w:color="auto" w:sz="6"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812" w:type="dxa"/>
            <w:tcBorders>
              <w:top w:val="single" w:color="auto" w:sz="6" w:space="0"/>
              <w:left w:val="single" w:color="auto" w:sz="6" w:space="0"/>
              <w:bottom w:val="single" w:color="auto" w:sz="12" w:space="0"/>
              <w:right w:val="single" w:color="auto" w:sz="6"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1607" w:type="dxa"/>
            <w:tcBorders>
              <w:top w:val="single" w:color="auto" w:sz="6" w:space="0"/>
              <w:left w:val="single" w:color="auto" w:sz="6" w:space="0"/>
              <w:bottom w:val="single" w:color="auto" w:sz="12" w:space="0"/>
              <w:right w:val="single" w:color="auto" w:sz="12" w:space="0"/>
            </w:tcBorders>
            <w:noWrap w:val="0"/>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r>
    </w:tbl>
    <w:p>
      <w:pPr>
        <w:pStyle w:val="4"/>
        <w:bidi w:val="0"/>
        <w:rPr>
          <w:rFonts w:hint="eastAsia" w:ascii="微软雅黑" w:hAnsi="微软雅黑" w:eastAsia="微软雅黑" w:cs="微软雅黑"/>
          <w:lang w:eastAsia="zh-CN"/>
        </w:rPr>
      </w:pPr>
      <w:r>
        <w:rPr>
          <w:rFonts w:hint="eastAsia"/>
          <w:lang w:eastAsia="zh-CN"/>
        </w:rPr>
        <w:t>A109010</w:t>
      </w:r>
      <w:r>
        <w:rPr>
          <w:rFonts w:hint="eastAsia"/>
          <w:lang w:eastAsia="zh-CN"/>
        </w:rPr>
        <w:tab/>
      </w:r>
      <w:r>
        <w:rPr>
          <w:rFonts w:hint="eastAsia"/>
          <w:lang w:eastAsia="zh-CN"/>
        </w:rPr>
        <w:t>《企业所得税汇总纳税分支机构所得税分配表》填报说明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本表适用于跨地区经营汇总纳税的总机构填报。纳税人应根据税法、《财政部 国家税务总局 中国人民银行关于印发〈跨省市总分机构企业所得税分配及预算管理办法〉的通知》（财预〔2012〕40号）、《国家税务总局关于印发〈跨地区经营汇总纳税企业所得税征收管理办法〉的公告》（国家税务总局公告2012年第57号）规定计算总分机构每一纳税年度应缴的企业所得税额、总机构和分支机构应分摊的企业所得税额。对于仅在同一省（自治区、直辖市和计划单列市）内设立不具有法人资格分支机构的企业，根据本省（自治区、直辖市和计划单列市）汇总纳税分配办法在总机构和各分支机构分配企业所得税额的，填报本表。</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一、具体项目填报说明</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1、“税款所属时期”：填报公历1月1日至12月31日。</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2、“总机构名称”“分支机构名称”：填报营业执照、税务登记证等证件载明的纳税人名称。</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总机构统一社会信用代码（纳税人识别号）”“分支机构统一社会信用代码（纳税人识别号）”：填报工商等部门核发的纳税人统一社会信用代码。未取得统一社会信用代码的，填报税务机关核发的纳税人识别号。</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应纳所得税额”：填报企业汇总计算的、且不包括境外所得应纳所得税额的本年应补（退）的所得税额。数据来源于《跨地区经营汇总纳税企业年度分摊企业所得税明细表》（A109000）第11行“本年度应分摊的应补（退）所得税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总机构分摊所得税额”：对于跨省（自治区、直辖市、计划单列市）经营汇总纳税企业，填报企业本年应补（退）所得税额×25%后的金额；对于同一省（自治区、直辖市、计划单列市）内跨地区经营汇总纳税企业，填报企业本年应补（退）所得税额×规定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6、“总机构财政集中分配所得税额”：对于跨省（自治区、直辖市、计划单列市）经营汇总纳税企业，填报企业本年应补（退）所得税额×25%后的金额；对于同一省（自治区、直辖市、计划单列市）内跨地区经营汇总纳税企业，填报企业本年应补（退）所得税额×规定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7、“分支机构分摊所得税额”：对于跨省（自治区、直辖市、计划单列市）经营汇总纳税企业，填报企业本年应补（退）的所得税额×50%后的金额；对于同一省（自治区、直辖市、计划单列市）内跨地区经营汇总纳税企业，填报企业本年应补（退）所得税额×规定比例后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8、“营业收入”：填报上一年度各分支机构销售商品、提供劳务、让渡资产使用权等日常经营活动实现的全部收入的合计额。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9、“职工薪酬”：填报上一年度各分支机构为获得职工提供的服务而给予各种形式的报酬以及其他相关支出的合计额。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10、“资产总额”：填报上一年度各分支机构在经营活动中实际使用的应归属于该分支机构的资产合计额。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11、“分配比例”：填报经总机构所在地主管税务机关审核确认的各分支机构分配比例，分配比例应保留小数点后十位。</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12、“分配所得税额”：填报分支机构按照分支机构分摊所得税额乘以相应的分配比例的金额。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13、“合计”：填报上一年度各分支机构的营业收入总额、职工薪酬总额和资产总额三项因素的合计金额及本年各分支机构分配比例和分配税额的合计金额。</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二、表内、表间关系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（一）表内关系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1、总机构分摊所得税额＝应纳所得税额×总机构分摊比例。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2、总机构财政集中分配所得税额＝应纳所得税额×财政集中分配比例。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3、分支机构分摊所得税额＝应纳所得税额×分支机构分摊比例。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4、分支机构分配比例＝（该分支机构营业收入÷分支机构营业收入合计）×35%＋（该分支机构职工薪酬÷分支机构职工薪酬合计）×35%＋（该分支机构资产总额÷分支机构资产总额合计）×30%。</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5、分支机构分配所得税额＝分支机构分摊所得税额×该分支机构分配比例。</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pPr>
      <w:r>
        <w:rPr>
          <w:rFonts w:hint="eastAsia" w:ascii="微软雅黑" w:hAnsi="微软雅黑" w:eastAsia="微软雅黑" w:cs="微软雅黑"/>
          <w:lang w:eastAsia="zh-CN"/>
        </w:rPr>
        <w:t>（二）表间关系</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微软雅黑" w:hAnsi="微软雅黑" w:eastAsia="微软雅黑" w:cs="微软雅黑"/>
          <w:lang w:eastAsia="zh-CN"/>
        </w:rPr>
        <w:sectPr>
          <w:pgSz w:w="11910" w:h="16840"/>
          <w:pgMar w:top="1080" w:right="280" w:bottom="840" w:left="400" w:header="0" w:footer="647" w:gutter="0"/>
          <w:cols w:space="720" w:num="1"/>
        </w:sectPr>
      </w:pPr>
      <w:r>
        <w:rPr>
          <w:rFonts w:hint="eastAsia" w:ascii="微软雅黑" w:hAnsi="微软雅黑" w:eastAsia="微软雅黑" w:cs="微软雅黑"/>
          <w:lang w:eastAsia="zh-CN"/>
        </w:rPr>
        <w:t>应纳所得税额＝表A109000第11行。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val="0"/>
          <w:bCs/>
          <w:sz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CCFB6D"/>
    <w:multiLevelType w:val="singleLevel"/>
    <w:tmpl w:val="E7CCFB6D"/>
    <w:lvl w:ilvl="0" w:tentative="0">
      <w:start w:val="2"/>
      <w:numFmt w:val="decimal"/>
      <w:lvlText w:val="%1."/>
      <w:lvlJc w:val="left"/>
      <w:pPr>
        <w:tabs>
          <w:tab w:val="left" w:pos="312"/>
        </w:tabs>
      </w:pPr>
    </w:lvl>
  </w:abstractNum>
  <w:abstractNum w:abstractNumId="1">
    <w:nsid w:val="2DDD1594"/>
    <w:multiLevelType w:val="singleLevel"/>
    <w:tmpl w:val="2DDD1594"/>
    <w:lvl w:ilvl="0" w:tentative="0">
      <w:start w:val="1"/>
      <w:numFmt w:val="decimal"/>
      <w:suff w:val="nothing"/>
      <w:lvlText w:val="%1、"/>
      <w:lvlJc w:val="left"/>
    </w:lvl>
  </w:abstractNum>
  <w:abstractNum w:abstractNumId="2">
    <w:nsid w:val="40E2E695"/>
    <w:multiLevelType w:val="singleLevel"/>
    <w:tmpl w:val="40E2E695"/>
    <w:lvl w:ilvl="0" w:tentative="0">
      <w:start w:val="3"/>
      <w:numFmt w:val="chineseCounting"/>
      <w:suff w:val="nothing"/>
      <w:lvlText w:val="%1、"/>
      <w:lvlJc w:val="left"/>
      <w:rPr>
        <w:rFonts w:hint="eastAsia"/>
      </w:rPr>
    </w:lvl>
  </w:abstractNum>
  <w:abstractNum w:abstractNumId="3">
    <w:nsid w:val="442D44E3"/>
    <w:multiLevelType w:val="singleLevel"/>
    <w:tmpl w:val="442D44E3"/>
    <w:lvl w:ilvl="0" w:tentative="0">
      <w:start w:val="1"/>
      <w:numFmt w:val="decimal"/>
      <w:suff w:val="nothing"/>
      <w:lvlText w:val="%1、"/>
      <w:lvlJc w:val="left"/>
    </w:lvl>
  </w:abstractNum>
  <w:abstractNum w:abstractNumId="4">
    <w:nsid w:val="60164342"/>
    <w:multiLevelType w:val="singleLevel"/>
    <w:tmpl w:val="60164342"/>
    <w:lvl w:ilvl="0" w:tentative="0">
      <w:start w:val="18"/>
      <w:numFmt w:val="decimal"/>
      <w:suff w:val="nothing"/>
      <w:lvlText w:val="%1、"/>
      <w:lvlJc w:val="left"/>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25187B"/>
    <w:rsid w:val="0A8747EA"/>
    <w:rsid w:val="2125187B"/>
    <w:rsid w:val="34C83229"/>
    <w:rsid w:val="3500234F"/>
    <w:rsid w:val="35905E27"/>
    <w:rsid w:val="4DED22B8"/>
    <w:rsid w:val="535B7335"/>
    <w:rsid w:val="5B055825"/>
    <w:rsid w:val="72AF2821"/>
    <w:rsid w:val="790D46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szCs w:val="20"/>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4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pPr>
      <w:ind w:left="1131"/>
    </w:pPr>
    <w:rPr>
      <w:rFonts w:ascii="宋体" w:hAnsi="宋体" w:eastAsia="宋体" w:cs="宋体"/>
      <w:sz w:val="24"/>
      <w:szCs w:val="24"/>
      <w:lang w:val="zh-CN" w:eastAsia="zh-CN" w:bidi="zh-CN"/>
    </w:rPr>
  </w:style>
  <w:style w:type="paragraph" w:styleId="7">
    <w:name w:val="footer"/>
    <w:basedOn w:val="1"/>
    <w:qFormat/>
    <w:uiPriority w:val="0"/>
    <w:pPr>
      <w:tabs>
        <w:tab w:val="center" w:pos="4153"/>
        <w:tab w:val="right" w:pos="8306"/>
      </w:tabs>
      <w:snapToGrid w:val="0"/>
      <w:jc w:val="left"/>
    </w:pPr>
    <w:rPr>
      <w:sz w:val="18"/>
      <w:szCs w:val="18"/>
    </w:rPr>
  </w:style>
  <w:style w:type="paragraph" w:customStyle="1" w:styleId="10">
    <w:name w:val="SBBL1"/>
    <w:basedOn w:val="2"/>
    <w:next w:val="1"/>
    <w:qFormat/>
    <w:uiPriority w:val="0"/>
    <w:pPr>
      <w:spacing w:beforeLines="100" w:afterLines="150" w:line="360" w:lineRule="auto"/>
      <w:jc w:val="center"/>
    </w:pPr>
    <w:rPr>
      <w:rFonts w:ascii="方正小标宋简体" w:hAnsi="宋体" w:eastAsia="方正小标宋简体" w:cs="宋体"/>
      <w:b w:val="0"/>
      <w:sz w:val="28"/>
      <w:szCs w:val="28"/>
    </w:rPr>
  </w:style>
  <w:style w:type="paragraph" w:customStyle="1" w:styleId="11">
    <w:name w:val="Table Paragraph"/>
    <w:basedOn w:val="1"/>
    <w:qFormat/>
    <w:uiPriority w:val="1"/>
    <w:rPr>
      <w:rFonts w:ascii="宋体" w:hAnsi="宋体" w:eastAsia="宋体" w:cs="宋体"/>
      <w:lang w:val="zh-CN" w:eastAsia="zh-CN" w:bidi="zh-CN"/>
    </w:rPr>
  </w:style>
  <w:style w:type="paragraph" w:styleId="12">
    <w:name w:val="List Paragraph"/>
    <w:basedOn w:val="1"/>
    <w:qFormat/>
    <w:uiPriority w:val="0"/>
    <w:pPr>
      <w:ind w:firstLine="420" w:firstLineChars="200"/>
    </w:pPr>
  </w:style>
  <w:style w:type="paragraph" w:customStyle="1" w:styleId="13">
    <w:name w:val="SBBT1"/>
    <w:basedOn w:val="14"/>
    <w:qFormat/>
    <w:uiPriority w:val="0"/>
    <w:pPr>
      <w:tabs>
        <w:tab w:val="center" w:pos="4678"/>
      </w:tabs>
      <w:ind w:firstLine="0" w:firstLineChars="0"/>
      <w:jc w:val="left"/>
      <w:outlineLvl w:val="0"/>
    </w:pPr>
    <w:rPr>
      <w:rFonts w:cs="宋体"/>
      <w:b/>
      <w:bCs/>
      <w:kern w:val="0"/>
      <w:sz w:val="28"/>
      <w:szCs w:val="28"/>
    </w:rPr>
  </w:style>
  <w:style w:type="paragraph" w:customStyle="1" w:styleId="14">
    <w:name w:val="SBBZW"/>
    <w:basedOn w:val="1"/>
    <w:qFormat/>
    <w:uiPriority w:val="0"/>
    <w:pPr>
      <w:spacing w:line="360" w:lineRule="auto"/>
      <w:ind w:firstLine="480" w:firstLineChars="200"/>
    </w:pPr>
    <w:rPr>
      <w:rFonts w:ascii="宋体" w:hAnsi="宋体"/>
      <w:sz w:val="24"/>
    </w:rPr>
  </w:style>
  <w:style w:type="character" w:customStyle="1" w:styleId="15">
    <w:name w:val="font01"/>
    <w:basedOn w:val="9"/>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83</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2021-03-11T07:53:00Z</dcterms:created>
  <dc:creator>Administrator</dc:creator>
  <cp:lastModifiedBy>acer</cp:lastModifiedBy>
  <dcterms:modified xsi:type="dcterms:W3CDTF">2021-04-15T11:28:30Z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8EAC44BEB6444947A8C9D28F4A585B37</vt:lpwstr>
  </property>
</Properties>
</file>